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600"/>
      </w:pPr>
    </w:p>
    <w:p>
      <w:pPr>
        <w:spacing w:after="200"/>
        <w:jc w:val="center"/>
      </w:pPr>
      <w:r>
        <w:rPr>
          <w:b/>
          <w:bCs/>
          <w:color w:val="1F4E79"/>
          <w:sz w:val="56"/>
          <w:szCs w:val="56"/>
        </w:rPr>
        <w:t xml:space="preserve">AEA CAPITAL RESEARCH</w:t>
      </w:r>
    </w:p>
    <w:p>
      <w:pPr>
        <w:spacing w:after="600"/>
        <w:jc w:val="center"/>
      </w:pPr>
      <w:r>
        <w:rPr>
          <w:sz w:val="32"/>
          <w:szCs w:val="32"/>
        </w:rPr>
        <w:t xml:space="preserve">Comprehensive Portfolio &amp; Watchlist Research Report</w:t>
      </w:r>
    </w:p>
    <w:p>
      <w:pPr>
        <w:spacing w:after="200"/>
        <w:jc w:val="center"/>
      </w:pPr>
      <w:r>
        <w:rPr>
          <w:i/>
          <w:iCs/>
          <w:sz w:val="24"/>
          <w:szCs w:val="24"/>
        </w:rPr>
        <w:t xml:space="preserve">32 Active Positions  ·  15 Watchlist Names  ·  9 Sector Peer Groups</w:t>
      </w:r>
    </w:p>
    <w:p>
      <w:pPr>
        <w:spacing w:after="800"/>
        <w:jc w:val="center"/>
      </w:pPr>
      <w:r>
        <w:rPr>
          <w:sz w:val="20"/>
          <w:szCs w:val="20"/>
        </w:rPr>
        <w:t xml:space="preserve">Prepared from AEA Capital Research (aea-capital-research.haiden1690.workers.dev) — Aydin Ali's public equity-research journal — cross-referenced against independent TTM fundamentals and sector comps.</w:t>
      </w:r>
    </w:p>
    <w:p>
      <w:pPr>
        <w:jc w:val="center"/>
      </w:pPr>
      <w:r>
        <w:rPr>
          <w:i/>
          <w:iCs/>
          <w:sz w:val="20"/>
          <w:szCs w:val="20"/>
        </w:rPr>
        <w:t>Data as of July 22–24, 2026</w:t>
      </w:r>
    </w:p>
    <w:p>
      <w:r>
        <w:br w:type="page"/>
      </w:r>
    </w:p>
    <w:p>
      <w:pPr>
        <w:pStyle w:val="Heading1"/>
        <w:spacing w:after="140" w:before="280"/>
      </w:pPr>
      <w:r>
        <w:t xml:space="preserve">Executive Summary</w:t>
      </w:r>
    </w:p>
    <w:p>
      <w:pPr>
        <w:spacing w:after="140"/>
      </w:pPr>
      <w:r>
        <w:t xml:space="preserve">AEA Capital Research is a personal, publicly-documented equity portfolio managed by Aydin Ali, run under a written Investment Policy Statement (IPS) and audited on a live Compliance Ledger. The account began with $500 of saved earnings and gift money and, as of the July 2026 letter, was worth $34,822.51 across 32 positions — an all-time dollar-weighted return of +72.14%. This report consolidates every ticker referenced on the site (32 holdings + 15 watchlist names, spanning 41 distinct operating companies plus 4 index ETFs, 1 leveraged ETF, and 1 pre-IPO/recently-public private name) into a single research document, and layers in independent TTM fundamentals and sector-relative valuation (sourced from stockanalysis.com / S&amp;P Global Market Intelligence) that the site's own comps workbook already established.</w:t>
      </w:r>
    </w:p>
    <w:p>
      <w:pPr>
        <w:spacing w:after="140"/>
      </w:pPr>
      <w:r>
        <w:rPr>
          <w:b/>
          <w:bCs/>
        </w:rPr>
        <w:t xml:space="preserve">Four themes run through the book and this report:</w:t>
      </w:r>
    </w:p>
    <w:p>
      <w:pPr>
        <w:pStyle w:val="ListParagraph"/>
        <w:numPr>
          <w:ilvl w:val="0"/>
          <w:numId w:val="2"/>
        </w:numPr>
        <w:spacing w:after="80"/>
      </w:pPr>
      <w:r>
        <w:t>Concentration in one macro bet. 28.50% of the portfolio sits directly in semiconductors (SNDK, AMD, MU, INTC, AVGO, ARM), and a further slice runs through AI/cloud infrastructure (NBIS, CRWV, WYFI, NBIL) and power/utilities (TLN, VST) that the account's own July 2026 opinion piece shows correlates at 0.7–1.0 in places — a genuinely tight cluster hiding inside a broader 'AI theme' label that is looser than it first appears.</w:t>
      </w:r>
    </w:p>
    <w:p>
      <w:pPr>
        <w:pStyle w:val="ListParagraph"/>
        <w:numPr>
          <w:ilvl w:val="0"/>
          <w:numId w:val="2"/>
        </w:numPr>
        <w:spacing w:after="80"/>
      </w:pPr>
      <w:r>
        <w:t>One resolved breach, honestly caveated. SNDK, the largest position, has drifted back under the 10% single-position cap to 7.94% of the book — but not because the corrective trim the account owed itself since June was ever executed. The position's return on cost fell from roughly 257% to 151.41% over the same stretch, and that price pullback did the rebalancing the policy should have. The Compliance Ledger states this distinction directly rather than quietly marking the rule compliant.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 valuation cross-check the site's own workbook enables but doesn't fully narrate. Cross-referencing every ticker's trailing P/E and EV/EBITDA against its true sector peer-group median (not a blanket market multiple) flags several names — most notably in the Cybersecurity, Enterprise Software, and AI Infrastructure groups — trading meaningfully above their own peer median, which is the practical answer to the book's stated question of 'am I overpaying.'</w:t>
      </w:r>
    </w:p>
    <w:p>
      <w:pPr>
        <w:pStyle w:val="ListParagraph"/>
        <w:numPr>
          <w:ilvl w:val="0"/>
          <w:numId w:val="2"/>
        </w:numPr>
        <w:spacing w:after="80"/>
      </w:pPr>
      <w:r>
        <w:t>A disciplined, honestly-reported process. The IPS's Blackout Rule, 30-day Core holding period, and monthly post-mortem practice are unusual for a retail account this size, and the site's willingness to publish a breach that resolved via price action rather than discipline — and a still-missed corrective trim obligation (also true of the NBIL post-mortem) — is a genuine differentiator versus most public portfolio trackers.</w:t>
      </w:r>
    </w:p>
    <w:p>
      <w:pPr>
        <w:pStyle w:val="Heading1"/>
        <w:spacing w:after="140" w:before="280"/>
      </w:pPr>
      <w:r>
        <w:t xml:space="preserve">1. Portfolio Snapshot</w:t>
      </w:r>
    </w:p>
    <w:p>
      <w:pPr>
        <w:spacing w:after="140"/>
      </w:pPr>
      <w:r>
        <w:t>Data verified via Blossom (a brokerage-linked portfolio tracker) as of July 22–24, 2026, per the account's own methodology disclosure.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900"/>
      </w:tblGrid>
      <w:tr>
        <w:tc>
          <w:tcPr>
            <w:tcW w:type="dxa" w:w="45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Metric</w:t>
            </w:r>
          </w:p>
        </w:tc>
        <w:tc>
          <w:tcPr>
            <w:tcW w:type="dxa" w:w="49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Value</w:t>
            </w:r>
          </w:p>
        </w:tc>
      </w:tr>
      <w:tr>
        <w:tc>
          <w:tcPr>
            <w:tcW w:type="dxa" w:w="45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Account value (as of July 2026 letter)</w:t>
            </w:r>
          </w:p>
        </w:tc>
        <w:tc>
          <w:tcPr>
            <w:tcW w:type="dxa" w:w="49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$34,822.51</w:t>
            </w:r>
          </w:p>
        </w:tc>
      </w:tr>
      <w:tr>
        <w:tc>
          <w:tcPr>
            <w:tcW w:type="dxa" w:w="45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All-time return (dollar-weighted, since $500 start)</w:t>
            </w:r>
          </w:p>
        </w:tc>
        <w:tc>
          <w:tcPr>
            <w:tcW w:type="dxa" w:w="49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+72.14%</w:t>
            </w:r>
          </w:p>
        </w:tc>
      </w:tr>
      <w:tr>
        <w:tc>
          <w:tcPr>
            <w:tcW w:type="dxa" w:w="45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Active positions</w:t>
            </w:r>
          </w:p>
        </w:tc>
        <w:tc>
          <w:tcPr>
            <w:tcW w:type="dxa" w:w="49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32</w:t>
            </w:r>
          </w:p>
        </w:tc>
      </w:tr>
      <w:tr>
        <w:tc>
          <w:tcPr>
            <w:tcW w:type="dxa" w:w="45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Watchlist names</w:t>
            </w:r>
          </w:p>
        </w:tc>
        <w:tc>
          <w:tcPr>
            <w:tcW w:type="dxa" w:w="49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15</w:t>
            </w:r>
          </w:p>
        </w:tc>
      </w:tr>
      <w:tr>
        <w:tc>
          <w:tcPr>
            <w:tcW w:type="dxa" w:w="45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Sectors represented (site's own grouping)</w:t>
            </w:r>
          </w:p>
        </w:tc>
        <w:tc>
          <w:tcPr>
            <w:tcW w:type="dxa" w:w="49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10</w:t>
            </w:r>
          </w:p>
        </w:tc>
      </w:tr>
      <w:tr>
        <w:tc>
          <w:tcPr>
            <w:tcW w:type="dxa" w:w="45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Portfolio beta vs. SPY (weekly, trailing regression)</w:t>
            </w:r>
          </w:p>
        </w:tc>
        <w:tc>
          <w:tcPr>
            <w:tcW w:type="dxa" w:w="49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1.79</w:t>
            </w:r>
          </w:p>
        </w:tc>
      </w:tr>
      <w:tr>
        <w:tc>
          <w:tcPr>
            <w:tcW w:type="dxa" w:w="45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Herfindahl-Hirschman Index (position concentration)</w:t>
            </w:r>
          </w:p>
        </w:tc>
        <w:tc>
          <w:tcPr>
            <w:tcW w:type="dxa" w:w="49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515 — unconcentrated by single-name sizing</w:t>
            </w:r>
          </w:p>
        </w:tc>
      </w:tr>
      <w:tr>
        <w:tc>
          <w:tcPr>
            <w:tcW w:type="dxa" w:w="45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Effective number of positions (10,000 ÷ HHI)</w:t>
            </w:r>
          </w:p>
        </w:tc>
        <w:tc>
          <w:tcPr>
            <w:tcW w:type="dxa" w:w="49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~19 of 32</w:t>
            </w:r>
          </w:p>
        </w:tc>
      </w:tr>
      <w:tr>
        <w:tc>
          <w:tcPr>
            <w:tcW w:type="dxa" w:w="45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Weighted dividend yield</w:t>
            </w:r>
          </w:p>
        </w:tc>
        <w:tc>
          <w:tcPr>
            <w:tcW w:type="dxa" w:w="49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0.24%</w:t>
            </w:r>
          </w:p>
        </w:tc>
      </w:tr>
      <w:tr>
        <w:tc>
          <w:tcPr>
            <w:tcW w:type="dxa" w:w="45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Book in GAAP-profitable names</w:t>
            </w:r>
          </w:p>
        </w:tc>
        <w:tc>
          <w:tcPr>
            <w:tcW w:type="dxa" w:w="49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57.2%</w:t>
            </w:r>
          </w:p>
        </w:tc>
      </w:tr>
      <w:tr>
        <w:tc>
          <w:tcPr>
            <w:tcW w:type="dxa" w:w="45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Weighted P/E, profitable subset only</w:t>
            </w:r>
          </w:p>
        </w:tc>
        <w:tc>
          <w:tcPr>
            <w:tcW w:type="dxa" w:w="49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121.7x</w:t>
            </w:r>
          </w:p>
        </w:tc>
      </w:tr>
      <w:tr>
        <w:tc>
          <w:tcPr>
            <w:tcW w:type="dxa" w:w="45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Book in pre-profit / growth-stage names</w:t>
            </w:r>
          </w:p>
        </w:tc>
        <w:tc>
          <w:tcPr>
            <w:tcW w:type="dxa" w:w="49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21.9%</w:t>
            </w:r>
          </w:p>
        </w:tc>
      </w:tr>
      <w:tr>
        <w:tc>
          <w:tcPr>
            <w:tcW w:type="dxa" w:w="45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Book in index funds (no single-name P/E)</w:t>
            </w:r>
          </w:p>
        </w:tc>
        <w:tc>
          <w:tcPr>
            <w:tcW w:type="dxa" w:w="49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20.9%</w:t>
            </w:r>
          </w:p>
        </w:tc>
      </w:tr>
      <w:tr>
        <w:tc>
          <w:tcPr>
            <w:tcW w:type="dxa" w:w="45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Thematic concentration (AI infra / compute / power)</w:t>
            </w:r>
          </w:p>
        </w:tc>
        <w:tc>
          <w:tcPr>
            <w:tcW w:type="dxa" w:w="49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60.46%</w:t>
            </w:r>
          </w:p>
        </w:tc>
      </w:tr>
      <w:tr>
        <w:tc>
          <w:tcPr>
            <w:tcW w:type="dxa" w:w="45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Dry powder / cash reserve</w:t>
            </w:r>
          </w:p>
        </w:tc>
        <w:tc>
          <w:tcPr>
            <w:tcW w:type="dxa" w:w="49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0.00% — fully invested per policy</w:t>
            </w:r>
          </w:p>
        </w:tc>
      </w:tr>
      <w:tr>
        <w:tc>
          <w:tcPr>
            <w:tcW w:type="dxa" w:w="45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Days to liquidate 100% of book</w:t>
            </w:r>
          </w:p>
        </w:tc>
        <w:tc>
          <w:tcPr>
            <w:tcW w:type="dxa" w:w="49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1 trading session — fully liquid, no lockups</w:t>
            </w:r>
          </w:p>
        </w:tc>
      </w:tr>
    </w:tbl>
    <w:p>
      <w:pPr>
        <w:pStyle w:val="Heading2"/>
        <w:spacing w:after="140" w:before="280"/>
      </w:pPr>
      <w:r>
        <w:t xml:space="preserve">Bucket allocation vs. IPS limits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1400"/>
        <w:gridCol w:w="2400"/>
        <w:gridCol w:w="2400"/>
      </w:tblGrid>
      <w:tr>
        <w:tc>
          <w:tcPr>
            <w:tcW w:type="dxa" w:w="32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Bucket</w:t>
            </w:r>
          </w:p>
        </w:tc>
        <w:tc>
          <w:tcPr>
            <w:tcW w:type="dxa" w:w="14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Weight</w:t>
            </w:r>
          </w:p>
        </w:tc>
        <w:tc>
          <w:tcPr>
            <w:tcW w:type="dxa" w:w="24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Policy limit</w:t>
            </w:r>
          </w:p>
        </w:tc>
        <w:tc>
          <w:tcPr>
            <w:tcW w:type="dxa" w:w="24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Status</w:t>
            </w:r>
          </w:p>
        </w:tc>
      </w:tr>
      <w:tr>
        <w:tc>
          <w:tcPr>
            <w:tcW w:type="dxa" w:w="32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Core / quality compounders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63.7%</w:t>
            </w:r>
          </w:p>
        </w:tc>
        <w:tc>
          <w:tcPr>
            <w:tcW w:type="dxa" w:w="2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Majority of book</w:t>
            </w:r>
          </w:p>
        </w:tc>
        <w:tc>
          <w:tcPr>
            <w:tcW w:type="dxa" w:w="2400"/>
          </w:tcPr>
          <w:p>
            <w:pPr>
              <w:jc w:val="center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 xml:space="preserve">Compliant</w:t>
            </w:r>
          </w:p>
        </w:tc>
      </w:tr>
      <w:tr>
        <w:tc>
          <w:tcPr>
            <w:tcW w:type="dxa" w:w="32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Index hedge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18.4%</w:t>
            </w:r>
          </w:p>
        </w:tc>
        <w:tc>
          <w:tcPr>
            <w:tcW w:type="dxa" w:w="2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Always held (ballast)</w:t>
            </w:r>
          </w:p>
        </w:tc>
        <w:tc>
          <w:tcPr>
            <w:tcW w:type="dxa" w:w="2400"/>
          </w:tcPr>
          <w:p>
            <w:pPr>
              <w:jc w:val="center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 xml:space="preserve">Compliant</w:t>
            </w:r>
          </w:p>
        </w:tc>
      </w:tr>
      <w:tr>
        <w:tc>
          <w:tcPr>
            <w:tcW w:type="dxa" w:w="32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Emerging growth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8.6%</w:t>
            </w:r>
          </w:p>
        </w:tc>
        <w:tc>
          <w:tcPr>
            <w:tcW w:type="dxa" w:w="2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Flexible</w:t>
            </w:r>
          </w:p>
        </w:tc>
        <w:tc>
          <w:tcPr>
            <w:tcW w:type="dxa" w:w="2400"/>
          </w:tcPr>
          <w:p>
            <w:pPr>
              <w:jc w:val="center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 xml:space="preserve">Compliant</w:t>
            </w:r>
          </w:p>
        </w:tc>
      </w:tr>
      <w:tr>
        <w:tc>
          <w:tcPr>
            <w:tcW w:type="dxa" w:w="32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Speculative sleeve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6.5%</w:t>
            </w:r>
          </w:p>
        </w:tc>
        <w:tc>
          <w:tcPr>
            <w:tcW w:type="dxa" w:w="2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≤ 25% of invested capital</w:t>
            </w:r>
          </w:p>
        </w:tc>
        <w:tc>
          <w:tcPr>
            <w:tcW w:type="dxa" w:w="2400"/>
          </w:tcPr>
          <w:p>
            <w:pPr>
              <w:jc w:val="center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 xml:space="preserve">Compliant</w:t>
            </w:r>
          </w:p>
        </w:tc>
      </w:tr>
      <w:tr>
        <w:tc>
          <w:tcPr>
            <w:tcW w:type="dxa" w:w="32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Leveraged / derivative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2.8%</w:t>
            </w:r>
          </w:p>
        </w:tc>
        <w:tc>
          <w:tcPr>
            <w:tcW w:type="dxa" w:w="2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≤ 5% of invested capital</w:t>
            </w:r>
          </w:p>
        </w:tc>
        <w:tc>
          <w:tcPr>
            <w:tcW w:type="dxa" w:w="2400"/>
          </w:tcPr>
          <w:p>
            <w:pPr>
              <w:jc w:val="center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 xml:space="preserve">Compliant</w:t>
            </w:r>
          </w:p>
        </w:tc>
      </w:tr>
    </w:tbl>
    <w:p>
      <w:pPr>
        <w:pStyle w:val="Heading1"/>
        <w:spacing w:after="140" w:before="280"/>
      </w:pPr>
      <w:r>
        <w:t xml:space="preserve">2. Full Holdings — All 32 Positions</w:t>
      </w:r>
    </w:p>
    <w:p>
      <w:pPr>
        <w:spacing w:after="140"/>
      </w:pPr>
      <w:r>
        <w:t xml:space="preserve">Sorted by allocation weight, per the July 2026 positioning letter and Holdings page. Avg. cost is the per-share cost basis; return is the real, Blossom-verified return since cost.</w:t>
      </w:r>
    </w:p>
    <w:tbl>
      <w:tblPr>
        <w:tblW w:type="dxa" w:w="10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2200"/>
        <w:gridCol w:w="1400"/>
        <w:gridCol w:w="1600"/>
        <w:gridCol w:w="900"/>
        <w:gridCol w:w="900"/>
        <w:gridCol w:w="900"/>
        <w:gridCol w:w="700"/>
        <w:gridCol w:w="1200"/>
      </w:tblGrid>
      <w:tr>
        <w:tc>
          <w:tcPr>
            <w:tcW w:type="dxa" w:w="800"/>
            <w:shd w:fill="1F4E79" w:val="clea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Ticker</w:t>
            </w:r>
          </w:p>
        </w:tc>
        <w:tc>
          <w:tcPr>
            <w:tcW w:type="dxa" w:w="2200"/>
            <w:shd w:fill="1F4E79" w:val="clea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Position</w:t>
            </w:r>
          </w:p>
        </w:tc>
        <w:tc>
          <w:tcPr>
            <w:tcW w:type="dxa" w:w="1400"/>
            <w:shd w:fill="1F4E79" w:val="clea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Bucket</w:t>
            </w:r>
          </w:p>
        </w:tc>
        <w:tc>
          <w:tcPr>
            <w:tcW w:type="dxa" w:w="1600"/>
            <w:shd w:fill="1F4E79" w:val="clea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Site Sector</w:t>
            </w:r>
          </w:p>
        </w:tc>
        <w:tc>
          <w:tcPr>
            <w:tcW w:type="dxa" w:w="900"/>
            <w:shd w:fill="1F4E79" w:val="clea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Alloc %</w:t>
            </w:r>
          </w:p>
        </w:tc>
        <w:tc>
          <w:tcPr>
            <w:tcW w:type="dxa" w:w="900"/>
            <w:shd w:fill="1F4E79" w:val="clea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Avg Cost</w:t>
            </w:r>
          </w:p>
        </w:tc>
        <w:tc>
          <w:tcPr>
            <w:tcW w:type="dxa" w:w="900"/>
            <w:shd w:fill="1F4E79" w:val="clea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Return</w:t>
            </w:r>
          </w:p>
        </w:tc>
        <w:tc>
          <w:tcPr>
            <w:tcW w:type="dxa" w:w="700"/>
            <w:shd w:fill="1F4E79" w:val="clea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Conv.</w:t>
            </w:r>
          </w:p>
        </w:tc>
        <w:tc>
          <w:tcPr>
            <w:tcW w:type="dxa" w:w="1200"/>
            <w:shd w:fill="1F4E79" w:val="clea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Status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SNDK</w:t>
            </w:r>
          </w:p>
        </w:tc>
        <w:tc>
          <w:tcPr>
            <w:tcW w:type="dxa" w:w="22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Sandisk Corp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Core</w:t>
            </w:r>
          </w:p>
        </w:tc>
        <w:tc>
          <w:tcPr>
            <w:tcW w:type="dxa" w:w="16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Semiconductors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7.94%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$483.21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>+151.41%</w:t>
            </w:r>
          </w:p>
        </w:tc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Medium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/>
                <w:bCs/>
                <w:color w:val="C08000"/>
                <w:sz w:val="18"/>
                <w:szCs w:val="18"/>
              </w:rPr>
              <w:t>UNDER REVIEW (near 10% cap)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META</w:t>
            </w:r>
          </w:p>
        </w:tc>
        <w:tc>
          <w:tcPr>
            <w:tcW w:type="dxa" w:w="22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Meta Platforms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Core</w:t>
            </w:r>
          </w:p>
        </w:tc>
        <w:tc>
          <w:tcPr>
            <w:tcW w:type="dxa" w:w="16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Communication Services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8.75%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$234.32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>+167.66%</w:t>
            </w:r>
          </w:p>
        </w:tc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High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0"/>
                <w:bCs w:val="false"/>
                <w:sz w:val="18"/>
                <w:szCs w:val="18"/>
              </w:rPr>
              <w:t>Active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AMD</w:t>
            </w:r>
          </w:p>
        </w:tc>
        <w:tc>
          <w:tcPr>
            <w:tcW w:type="dxa" w:w="22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Advanced Micro Devices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Core</w:t>
            </w:r>
          </w:p>
        </w:tc>
        <w:tc>
          <w:tcPr>
            <w:tcW w:type="dxa" w:w="16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Semiconductors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8.32%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$199.34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>+177.08%</w:t>
            </w:r>
          </w:p>
        </w:tc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Medium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0"/>
                <w:bCs w:val="false"/>
                <w:sz w:val="18"/>
                <w:szCs w:val="18"/>
              </w:rPr>
              <w:t>Active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SPY</w:t>
            </w:r>
          </w:p>
        </w:tc>
        <w:tc>
          <w:tcPr>
            <w:tcW w:type="dxa" w:w="22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SPDR S&amp;P 500 ETF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Index Hedge</w:t>
            </w:r>
          </w:p>
        </w:tc>
        <w:tc>
          <w:tcPr>
            <w:tcW w:type="dxa" w:w="16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Index Funds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6.76%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$655.24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>+14.07%</w:t>
            </w:r>
          </w:p>
        </w:tc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High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0"/>
                <w:bCs w:val="false"/>
                <w:sz w:val="18"/>
                <w:szCs w:val="18"/>
              </w:rPr>
              <w:t>Active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VOO</w:t>
            </w:r>
          </w:p>
        </w:tc>
        <w:tc>
          <w:tcPr>
            <w:tcW w:type="dxa" w:w="22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Vanguard S&amp;P 500 ETF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Index Hedge</w:t>
            </w:r>
          </w:p>
        </w:tc>
        <w:tc>
          <w:tcPr>
            <w:tcW w:type="dxa" w:w="16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Index Funds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6.21%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$580.93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>+18.26%</w:t>
            </w:r>
          </w:p>
        </w:tc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High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0"/>
                <w:bCs w:val="false"/>
                <w:sz w:val="18"/>
                <w:szCs w:val="18"/>
              </w:rPr>
              <w:t>Active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MU</w:t>
            </w:r>
          </w:p>
        </w:tc>
        <w:tc>
          <w:tcPr>
            <w:tcW w:type="dxa" w:w="22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Micron Technology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Core</w:t>
            </w:r>
          </w:p>
        </w:tc>
        <w:tc>
          <w:tcPr>
            <w:tcW w:type="dxa" w:w="16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Semiconductors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5.78%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$325.83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>+194.47%</w:t>
            </w:r>
          </w:p>
        </w:tc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Medium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0"/>
                <w:bCs w:val="false"/>
                <w:sz w:val="18"/>
                <w:szCs w:val="18"/>
              </w:rPr>
              <w:t>Active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PANW</w:t>
            </w:r>
          </w:p>
        </w:tc>
        <w:tc>
          <w:tcPr>
            <w:tcW w:type="dxa" w:w="22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Palo Alto Networks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Core</w:t>
            </w:r>
          </w:p>
        </w:tc>
        <w:tc>
          <w:tcPr>
            <w:tcW w:type="dxa" w:w="16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Software &amp; Cybersecurity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5.05%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$160.32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>+109.13%</w:t>
            </w:r>
          </w:p>
        </w:tc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High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0"/>
                <w:bCs w:val="false"/>
                <w:sz w:val="18"/>
                <w:szCs w:val="18"/>
              </w:rPr>
              <w:t>Active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EL</w:t>
            </w:r>
          </w:p>
        </w:tc>
        <w:tc>
          <w:tcPr>
            <w:tcW w:type="dxa" w:w="22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Estee Lauder Companies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Core</w:t>
            </w:r>
          </w:p>
        </w:tc>
        <w:tc>
          <w:tcPr>
            <w:tcW w:type="dxa" w:w="16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Consumer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4.48%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$69.12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>+19.55%</w:t>
            </w:r>
          </w:p>
        </w:tc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Medium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0"/>
                <w:bCs w:val="false"/>
                <w:sz w:val="18"/>
                <w:szCs w:val="18"/>
              </w:rPr>
              <w:t>Active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INTC</w:t>
            </w:r>
          </w:p>
        </w:tc>
        <w:tc>
          <w:tcPr>
            <w:tcW w:type="dxa" w:w="22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Intel Corporation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Core</w:t>
            </w:r>
          </w:p>
        </w:tc>
        <w:tc>
          <w:tcPr>
            <w:tcW w:type="dxa" w:w="16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Semiconductors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4.33%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$37.43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>+174.17%</w:t>
            </w:r>
          </w:p>
        </w:tc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Medium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0"/>
                <w:bCs w:val="false"/>
                <w:sz w:val="18"/>
                <w:szCs w:val="18"/>
              </w:rPr>
              <w:t>Active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QQQ</w:t>
            </w:r>
          </w:p>
        </w:tc>
        <w:tc>
          <w:tcPr>
            <w:tcW w:type="dxa" w:w="22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Invesco QQQ Trust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Index Hedge</w:t>
            </w:r>
          </w:p>
        </w:tc>
        <w:tc>
          <w:tcPr>
            <w:tcW w:type="dxa" w:w="16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Index Funds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4.25%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$558.28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>+26.34%</w:t>
            </w:r>
          </w:p>
        </w:tc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High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0"/>
                <w:bCs w:val="false"/>
                <w:sz w:val="18"/>
                <w:szCs w:val="18"/>
              </w:rPr>
              <w:t>Active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TLN</w:t>
            </w:r>
          </w:p>
        </w:tc>
        <w:tc>
          <w:tcPr>
            <w:tcW w:type="dxa" w:w="22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Talen Energy Corporation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Core</w:t>
            </w:r>
          </w:p>
        </w:tc>
        <w:tc>
          <w:tcPr>
            <w:tcW w:type="dxa" w:w="16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Power &amp; Utilities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3.41%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$314.57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>+19.98%</w:t>
            </w:r>
          </w:p>
        </w:tc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Medium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0"/>
                <w:bCs w:val="false"/>
                <w:sz w:val="18"/>
                <w:szCs w:val="18"/>
              </w:rPr>
              <w:t>Active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GOOGL</w:t>
            </w:r>
          </w:p>
        </w:tc>
        <w:tc>
          <w:tcPr>
            <w:tcW w:type="dxa" w:w="22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Alphabet Inc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Core</w:t>
            </w:r>
          </w:p>
        </w:tc>
        <w:tc>
          <w:tcPr>
            <w:tcW w:type="dxa" w:w="16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Communication Services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3.16%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$274.57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>+27.45%</w:t>
            </w:r>
          </w:p>
        </w:tc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High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0"/>
                <w:bCs w:val="false"/>
                <w:sz w:val="18"/>
                <w:szCs w:val="18"/>
              </w:rPr>
              <w:t>Active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NBIL</w:t>
            </w:r>
          </w:p>
        </w:tc>
        <w:tc>
          <w:tcPr>
            <w:tcW w:type="dxa" w:w="22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GraniteShares 2x Long NBIS Daily ETF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Leveraged</w:t>
            </w:r>
          </w:p>
        </w:tc>
        <w:tc>
          <w:tcPr>
            <w:tcW w:type="dxa" w:w="16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Leveraged Derivative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2.81%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$9.23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>+236.51%</w:t>
            </w:r>
          </w:p>
        </w:tc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Low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0"/>
                <w:bCs w:val="false"/>
                <w:sz w:val="18"/>
                <w:szCs w:val="18"/>
              </w:rPr>
              <w:t>Active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SPCX</w:t>
            </w:r>
          </w:p>
        </w:tc>
        <w:tc>
          <w:tcPr>
            <w:tcW w:type="dxa" w:w="22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SpaceX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Speculative</w:t>
            </w:r>
          </w:p>
        </w:tc>
        <w:tc>
          <w:tcPr>
            <w:tcW w:type="dxa" w:w="16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Industrials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2.78%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$135.00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>-14.62%</w:t>
            </w:r>
          </w:p>
        </w:tc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Low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0"/>
                <w:bCs w:val="false"/>
                <w:sz w:val="18"/>
                <w:szCs w:val="18"/>
              </w:rPr>
              <w:t>Active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VRT</w:t>
            </w:r>
          </w:p>
        </w:tc>
        <w:tc>
          <w:tcPr>
            <w:tcW w:type="dxa" w:w="22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Vertiv Holdings Co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Core</w:t>
            </w:r>
          </w:p>
        </w:tc>
        <w:tc>
          <w:tcPr>
            <w:tcW w:type="dxa" w:w="16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Industrials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2.72%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$304.90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>-1.23%</w:t>
            </w:r>
          </w:p>
        </w:tc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Medium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0"/>
                <w:bCs w:val="false"/>
                <w:sz w:val="18"/>
                <w:szCs w:val="18"/>
              </w:rPr>
              <w:t>Active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DDOG</w:t>
            </w:r>
          </w:p>
        </w:tc>
        <w:tc>
          <w:tcPr>
            <w:tcW w:type="dxa" w:w="22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Datadog Inc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Emerging Growth</w:t>
            </w:r>
          </w:p>
        </w:tc>
        <w:tc>
          <w:tcPr>
            <w:tcW w:type="dxa" w:w="16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Software &amp; Cybersecurity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2.22%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$119.27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>+106.06%</w:t>
            </w:r>
          </w:p>
        </w:tc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High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0"/>
                <w:bCs w:val="false"/>
                <w:sz w:val="18"/>
                <w:szCs w:val="18"/>
              </w:rPr>
              <w:t>Active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CAKE</w:t>
            </w:r>
          </w:p>
        </w:tc>
        <w:tc>
          <w:tcPr>
            <w:tcW w:type="dxa" w:w="22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The Cheesecake Factory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Speculative</w:t>
            </w:r>
          </w:p>
        </w:tc>
        <w:tc>
          <w:tcPr>
            <w:tcW w:type="dxa" w:w="16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Consumer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2.07%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$45.40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>+88.72%</w:t>
            </w:r>
          </w:p>
        </w:tc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Low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0"/>
                <w:bCs w:val="false"/>
                <w:sz w:val="18"/>
                <w:szCs w:val="18"/>
              </w:rPr>
              <w:t>Active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NOW</w:t>
            </w:r>
          </w:p>
        </w:tc>
        <w:tc>
          <w:tcPr>
            <w:tcW w:type="dxa" w:w="22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ServiceNow Inc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Core</w:t>
            </w:r>
          </w:p>
        </w:tc>
        <w:tc>
          <w:tcPr>
            <w:tcW w:type="dxa" w:w="16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Software &amp; Cybersecurity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1.73%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$84.76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>+12.62%</w:t>
            </w:r>
          </w:p>
        </w:tc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High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0"/>
                <w:bCs w:val="false"/>
                <w:sz w:val="18"/>
                <w:szCs w:val="18"/>
              </w:rPr>
              <w:t>Active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ARM</w:t>
            </w:r>
          </w:p>
        </w:tc>
        <w:tc>
          <w:tcPr>
            <w:tcW w:type="dxa" w:w="22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Arm Holdings plc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Core</w:t>
            </w:r>
          </w:p>
        </w:tc>
        <w:tc>
          <w:tcPr>
            <w:tcW w:type="dxa" w:w="16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Semiconductors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1.71%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$207.83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>+36.36%</w:t>
            </w:r>
          </w:p>
        </w:tc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Medium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0"/>
                <w:bCs w:val="false"/>
                <w:sz w:val="18"/>
                <w:szCs w:val="18"/>
              </w:rPr>
              <w:t>Active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AVGO</w:t>
            </w:r>
          </w:p>
        </w:tc>
        <w:tc>
          <w:tcPr>
            <w:tcW w:type="dxa" w:w="22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Broadcom Inc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Core</w:t>
            </w:r>
          </w:p>
        </w:tc>
        <w:tc>
          <w:tcPr>
            <w:tcW w:type="dxa" w:w="16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Semiconductors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1.60%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$293.47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>+35.21%</w:t>
            </w:r>
          </w:p>
        </w:tc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High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0"/>
                <w:bCs w:val="false"/>
                <w:sz w:val="18"/>
                <w:szCs w:val="18"/>
              </w:rPr>
              <w:t>Active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FTNT</w:t>
            </w:r>
          </w:p>
        </w:tc>
        <w:tc>
          <w:tcPr>
            <w:tcW w:type="dxa" w:w="22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Fortinet Inc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Core</w:t>
            </w:r>
          </w:p>
        </w:tc>
        <w:tc>
          <w:tcPr>
            <w:tcW w:type="dxa" w:w="16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Software &amp; Cybersecurity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1.40%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$84.30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>+83.93%</w:t>
            </w:r>
          </w:p>
        </w:tc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High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0"/>
                <w:bCs w:val="false"/>
                <w:sz w:val="18"/>
                <w:szCs w:val="18"/>
              </w:rPr>
              <w:t>Active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NBIS</w:t>
            </w:r>
          </w:p>
        </w:tc>
        <w:tc>
          <w:tcPr>
            <w:tcW w:type="dxa" w:w="22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Nebius Group N.V.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Emerging Growth</w:t>
            </w:r>
          </w:p>
        </w:tc>
        <w:tc>
          <w:tcPr>
            <w:tcW w:type="dxa" w:w="16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AI/Cloud Infrastructure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1.31%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$90.12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>+142.08%</w:t>
            </w:r>
          </w:p>
        </w:tc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Medium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0"/>
                <w:bCs w:val="false"/>
                <w:sz w:val="18"/>
                <w:szCs w:val="18"/>
              </w:rPr>
              <w:t>Active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CRWV</w:t>
            </w:r>
          </w:p>
        </w:tc>
        <w:tc>
          <w:tcPr>
            <w:tcW w:type="dxa" w:w="22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CoreWeave Inc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Emerging Growth</w:t>
            </w:r>
          </w:p>
        </w:tc>
        <w:tc>
          <w:tcPr>
            <w:tcW w:type="dxa" w:w="16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AI/Cloud Infrastructure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1.25%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$82.94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>-0.36%</w:t>
            </w:r>
          </w:p>
        </w:tc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Low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0"/>
                <w:bCs w:val="false"/>
                <w:sz w:val="18"/>
                <w:szCs w:val="18"/>
              </w:rPr>
              <w:t>Active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SCHD</w:t>
            </w:r>
          </w:p>
        </w:tc>
        <w:tc>
          <w:tcPr>
            <w:tcW w:type="dxa" w:w="22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Schwab U.S. Dividend Equity ETF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Index Hedge</w:t>
            </w:r>
          </w:p>
        </w:tc>
        <w:tc>
          <w:tcPr>
            <w:tcW w:type="dxa" w:w="16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Index Funds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1.19%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$32.24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>+2.05%</w:t>
            </w:r>
          </w:p>
        </w:tc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High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0"/>
                <w:bCs w:val="false"/>
                <w:sz w:val="18"/>
                <w:szCs w:val="18"/>
              </w:rPr>
              <w:t>Active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WYFI</w:t>
            </w:r>
          </w:p>
        </w:tc>
        <w:tc>
          <w:tcPr>
            <w:tcW w:type="dxa" w:w="22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WhiteFiber Inc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Emerging Growth</w:t>
            </w:r>
          </w:p>
        </w:tc>
        <w:tc>
          <w:tcPr>
            <w:tcW w:type="dxa" w:w="16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AI/Cloud Infrastructure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1.18%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$13.33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>+109.00%</w:t>
            </w:r>
          </w:p>
        </w:tc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Low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0"/>
                <w:bCs w:val="false"/>
                <w:sz w:val="18"/>
                <w:szCs w:val="18"/>
              </w:rPr>
              <w:t>Active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CRWD</w:t>
            </w:r>
          </w:p>
        </w:tc>
        <w:tc>
          <w:tcPr>
            <w:tcW w:type="dxa" w:w="22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CrowdStrike Holdings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Emerging Growth</w:t>
            </w:r>
          </w:p>
        </w:tc>
        <w:tc>
          <w:tcPr>
            <w:tcW w:type="dxa" w:w="16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Software &amp; Cybersecurity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1.14%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$94.76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>+98.84%</w:t>
            </w:r>
          </w:p>
        </w:tc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High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0"/>
                <w:bCs w:val="false"/>
                <w:sz w:val="18"/>
                <w:szCs w:val="18"/>
              </w:rPr>
              <w:t>Active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AAL</w:t>
            </w:r>
          </w:p>
        </w:tc>
        <w:tc>
          <w:tcPr>
            <w:tcW w:type="dxa" w:w="22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American Airlines Group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Speculative</w:t>
            </w:r>
          </w:p>
        </w:tc>
        <w:tc>
          <w:tcPr>
            <w:tcW w:type="dxa" w:w="16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Industrials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1.03%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$10.18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>+45.28%</w:t>
            </w:r>
          </w:p>
        </w:tc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Low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0"/>
                <w:bCs w:val="false"/>
                <w:sz w:val="18"/>
                <w:szCs w:val="18"/>
              </w:rPr>
              <w:t>Active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VST</w:t>
            </w:r>
          </w:p>
        </w:tc>
        <w:tc>
          <w:tcPr>
            <w:tcW w:type="dxa" w:w="22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Vistra Corp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Core</w:t>
            </w:r>
          </w:p>
        </w:tc>
        <w:tc>
          <w:tcPr>
            <w:tcW w:type="dxa" w:w="16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Power &amp; Utilities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1.01%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$134.71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>+23.78%</w:t>
            </w:r>
          </w:p>
        </w:tc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Medium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0"/>
                <w:bCs w:val="false"/>
                <w:sz w:val="18"/>
                <w:szCs w:val="18"/>
              </w:rPr>
              <w:t>Active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SYM</w:t>
            </w:r>
          </w:p>
        </w:tc>
        <w:tc>
          <w:tcPr>
            <w:tcW w:type="dxa" w:w="22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Symbotic Inc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Emerging Growth</w:t>
            </w:r>
          </w:p>
        </w:tc>
        <w:tc>
          <w:tcPr>
            <w:tcW w:type="dxa" w:w="16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Industrials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0.90%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$38.55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>+10.14%</w:t>
            </w:r>
          </w:p>
        </w:tc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Low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0"/>
                <w:bCs w:val="false"/>
                <w:sz w:val="18"/>
                <w:szCs w:val="18"/>
              </w:rPr>
              <w:t>Active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RKLB</w:t>
            </w:r>
          </w:p>
        </w:tc>
        <w:tc>
          <w:tcPr>
            <w:tcW w:type="dxa" w:w="22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Rocket Lab USA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Speculative</w:t>
            </w:r>
          </w:p>
        </w:tc>
        <w:tc>
          <w:tcPr>
            <w:tcW w:type="dxa" w:w="16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Industrials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0.63%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$78.59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>-11.25%</w:t>
            </w:r>
          </w:p>
        </w:tc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Low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0"/>
                <w:bCs w:val="false"/>
                <w:sz w:val="18"/>
                <w:szCs w:val="18"/>
              </w:rPr>
              <w:t>Active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NFLX</w:t>
            </w:r>
          </w:p>
        </w:tc>
        <w:tc>
          <w:tcPr>
            <w:tcW w:type="dxa" w:w="22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Netflix Inc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Core</w:t>
            </w:r>
          </w:p>
        </w:tc>
        <w:tc>
          <w:tcPr>
            <w:tcW w:type="dxa" w:w="16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Communication Services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0.62%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$79.23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>-13.50%</w:t>
            </w:r>
          </w:p>
        </w:tc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Medium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0"/>
                <w:bCs w:val="false"/>
                <w:sz w:val="18"/>
                <w:szCs w:val="18"/>
              </w:rPr>
              <w:t>Active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TEM</w:t>
            </w:r>
          </w:p>
        </w:tc>
        <w:tc>
          <w:tcPr>
            <w:tcW w:type="dxa" w:w="22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Tempus AI Inc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Emerging Growth</w:t>
            </w:r>
          </w:p>
        </w:tc>
        <w:tc>
          <w:tcPr>
            <w:tcW w:type="dxa" w:w="16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Healthcare Technology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0.57%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$49.73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color w:val="C00000"/>
                <w:sz w:val="18"/>
                <w:szCs w:val="18"/>
              </w:rPr>
              <w:t>-5.57%</w:t>
            </w:r>
          </w:p>
        </w:tc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Low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0"/>
                <w:bCs w:val="false"/>
                <w:sz w:val="18"/>
                <w:szCs w:val="18"/>
              </w:rPr>
              <w:t>Active</w:t>
            </w:r>
          </w:p>
        </w:tc>
      </w:tr>
    </w:tbl>
    <w:p>
      <w:pPr>
        <w:spacing w:after="140"/>
      </w:pPr>
      <w:r>
        <w:rPr>
          <w:i/>
          <w:iCs/>
        </w:rPr>
        <w:t>SNDK's status is flagged UNDER REVIEW rather than a hard breach: its 7.94% weight now sits under the IPS's 10% single-position cap, but only because the position's return on cost fell from roughly 257% to 151.41%, not because the account executed the trim it disclosed as owed since June. The Compliance Ledger and Coverage Book both flag this as an open judgment call, not a resolved one.</w:t>
      </w:r>
    </w:p>
    <w:p>
      <w:pPr>
        <w:pStyle w:val="Heading1"/>
        <w:spacing w:after="140" w:before="280"/>
      </w:pPr>
      <w:r>
        <w:t xml:space="preserve">3. Full Watchlist — 15 Names Under Research</w:t>
      </w:r>
    </w:p>
    <w:p>
      <w:pPr>
        <w:spacing w:after="140"/>
      </w:pPr>
      <w:r>
        <w:t xml:space="preserve">Prices as of July 10, 2026 close. Every name here must clear a four-tier quantitative + qualitative screen (size/liquidity, financial quality, ownership/governance, thesis fit) before it earns a written thesis and a place on this list — a name only moves to Holdings after a written thesis, risk case, and sizing decision under the IPS.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2400"/>
        <w:gridCol w:w="2800"/>
        <w:gridCol w:w="1100"/>
        <w:gridCol w:w="1000"/>
        <w:gridCol w:w="1200"/>
      </w:tblGrid>
      <w:tr>
        <w:tc>
          <w:tcPr>
            <w:tcW w:type="dxa" w:w="900"/>
            <w:shd w:fill="1F4E79" w:val="clea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Ticker</w:t>
            </w:r>
          </w:p>
        </w:tc>
        <w:tc>
          <w:tcPr>
            <w:tcW w:type="dxa" w:w="2400"/>
            <w:shd w:fill="1F4E79" w:val="clea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Company</w:t>
            </w:r>
          </w:p>
        </w:tc>
        <w:tc>
          <w:tcPr>
            <w:tcW w:type="dxa" w:w="2800"/>
            <w:shd w:fill="1F4E79" w:val="clea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Sector / Niche</w:t>
            </w:r>
          </w:p>
        </w:tc>
        <w:tc>
          <w:tcPr>
            <w:tcW w:type="dxa" w:w="1100"/>
            <w:shd w:fill="1F4E79" w:val="clea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Price</w:t>
            </w:r>
          </w:p>
        </w:tc>
        <w:tc>
          <w:tcPr>
            <w:tcW w:type="dxa" w:w="1000"/>
            <w:shd w:fill="1F4E79" w:val="clea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Day %</w:t>
            </w:r>
          </w:p>
        </w:tc>
        <w:tc>
          <w:tcPr>
            <w:tcW w:type="dxa" w:w="1200"/>
            <w:shd w:fill="1F4E79" w:val="clea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Conviction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NVDA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NVIDIA Corp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Semiconductors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$210.96</w:t>
            </w:r>
          </w:p>
        </w:tc>
        <w:tc>
          <w:tcPr>
            <w:tcW w:type="dxa" w:w="1000"/>
          </w:tcPr>
          <w:p>
            <w:pPr>
              <w:jc w:val="center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 xml:space="preserve">+4.03%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Medium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TSM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Taiwan Semiconductor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Semiconductor foundry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$434.11</w:t>
            </w:r>
          </w:p>
        </w:tc>
        <w:tc>
          <w:tcPr>
            <w:tcW w:type="dxa" w:w="1000"/>
          </w:tcPr>
          <w:p>
            <w:pPr>
              <w:jc w:val="center"/>
            </w:pPr>
            <w:r>
              <w:rPr>
                <w:b w:val="false"/>
                <w:bCs w:val="false"/>
                <w:color w:val="C00000"/>
                <w:sz w:val="18"/>
                <w:szCs w:val="18"/>
              </w:rPr>
              <w:t xml:space="preserve">-0.65%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Medium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ASML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ASML Holding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Semiconductor equipment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$1797.32</w:t>
            </w:r>
          </w:p>
        </w:tc>
        <w:tc>
          <w:tcPr>
            <w:tcW w:type="dxa" w:w="1000"/>
          </w:tcPr>
          <w:p>
            <w:pPr>
              <w:jc w:val="center"/>
            </w:pPr>
            <w:r>
              <w:rPr>
                <w:b w:val="false"/>
                <w:bCs w:val="false"/>
                <w:color w:val="C00000"/>
                <w:sz w:val="18"/>
                <w:szCs w:val="18"/>
              </w:rPr>
              <w:t xml:space="preserve">-0.38%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Medium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ORCL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Oracle Corp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Enterprise software / cloud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$140.64</w:t>
            </w:r>
          </w:p>
        </w:tc>
        <w:tc>
          <w:tcPr>
            <w:tcW w:type="dxa" w:w="1000"/>
          </w:tcPr>
          <w:p>
            <w:pPr>
              <w:jc w:val="center"/>
            </w:pPr>
            <w:r>
              <w:rPr>
                <w:b w:val="false"/>
                <w:bCs w:val="false"/>
                <w:color w:val="C00000"/>
                <w:sz w:val="18"/>
                <w:szCs w:val="18"/>
              </w:rPr>
              <w:t xml:space="preserve">-2.48%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Low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APLD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Applied Digital Corp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Data center / GPU cloud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$31.15</w:t>
            </w:r>
          </w:p>
        </w:tc>
        <w:tc>
          <w:tcPr>
            <w:tcW w:type="dxa" w:w="1000"/>
          </w:tcPr>
          <w:p>
            <w:pPr>
              <w:jc w:val="center"/>
            </w:pPr>
            <w:r>
              <w:rPr>
                <w:b w:val="false"/>
                <w:bCs w:val="false"/>
                <w:color w:val="C00000"/>
                <w:sz w:val="18"/>
                <w:szCs w:val="18"/>
              </w:rPr>
              <w:t xml:space="preserve">-3.53%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Low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PLTR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Palantir Technologies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Enterprise / gov't AI software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$126.79</w:t>
            </w:r>
          </w:p>
        </w:tc>
        <w:tc>
          <w:tcPr>
            <w:tcW w:type="dxa" w:w="1000"/>
          </w:tcPr>
          <w:p>
            <w:pPr>
              <w:jc w:val="center"/>
            </w:pPr>
            <w:r>
              <w:rPr>
                <w:b w:val="false"/>
                <w:bCs w:val="false"/>
                <w:color w:val="C00000"/>
                <w:sz w:val="18"/>
                <w:szCs w:val="18"/>
              </w:rPr>
              <w:t xml:space="preserve">-1.74%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Low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CRM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Salesforce Inc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Enterprise CRM / AI software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$163.32</w:t>
            </w:r>
          </w:p>
        </w:tc>
        <w:tc>
          <w:tcPr>
            <w:tcW w:type="dxa" w:w="1000"/>
          </w:tcPr>
          <w:p>
            <w:pPr>
              <w:jc w:val="center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 xml:space="preserve">+0.50%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Low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UBER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Uber Technologies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Mobility / network platform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$74.54</w:t>
            </w:r>
          </w:p>
        </w:tc>
        <w:tc>
          <w:tcPr>
            <w:tcW w:type="dxa" w:w="1000"/>
          </w:tcPr>
          <w:p>
            <w:pPr>
              <w:jc w:val="center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 xml:space="preserve">+0.26%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Low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COIN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Coinbase Global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Crypto exchange / infra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$159.07</w:t>
            </w:r>
          </w:p>
        </w:tc>
        <w:tc>
          <w:tcPr>
            <w:tcW w:type="dxa" w:w="1000"/>
          </w:tcPr>
          <w:p>
            <w:pPr>
              <w:jc w:val="center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 xml:space="preserve">+0.40%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Low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IONQ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IonQ Inc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Quantum computing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$42.86</w:t>
            </w:r>
          </w:p>
        </w:tc>
        <w:tc>
          <w:tcPr>
            <w:tcW w:type="dxa" w:w="1000"/>
          </w:tcPr>
          <w:p>
            <w:pPr>
              <w:jc w:val="center"/>
            </w:pPr>
            <w:r>
              <w:rPr>
                <w:b w:val="false"/>
                <w:bCs w:val="false"/>
                <w:color w:val="C00000"/>
                <w:sz w:val="18"/>
                <w:szCs w:val="18"/>
              </w:rPr>
              <w:t xml:space="preserve">-4.27%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Low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MSFT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Microsoft Corp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Cloud / enterprise AI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$385.10</w:t>
            </w:r>
          </w:p>
        </w:tc>
        <w:tc>
          <w:tcPr>
            <w:tcW w:type="dxa" w:w="1000"/>
          </w:tcPr>
          <w:p>
            <w:pPr>
              <w:jc w:val="center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 xml:space="preserve">+0.19%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Medium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AMZN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Amazon.com Inc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E-commerce / cloud (AWS)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$245.34</w:t>
            </w:r>
          </w:p>
        </w:tc>
        <w:tc>
          <w:tcPr>
            <w:tcW w:type="dxa" w:w="1000"/>
          </w:tcPr>
          <w:p>
            <w:pPr>
              <w:jc w:val="center"/>
            </w:pPr>
            <w:r>
              <w:rPr>
                <w:b w:val="false"/>
                <w:bCs w:val="false"/>
                <w:color w:val="C00000"/>
                <w:sz w:val="18"/>
                <w:szCs w:val="18"/>
              </w:rPr>
              <w:t xml:space="preserve">-0.69%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Medium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AAPL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Apple Inc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Consumer hardware / services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$315.32</w:t>
            </w:r>
          </w:p>
        </w:tc>
        <w:tc>
          <w:tcPr>
            <w:tcW w:type="dxa" w:w="1000"/>
          </w:tcPr>
          <w:p>
            <w:pPr>
              <w:jc w:val="center"/>
            </w:pPr>
            <w:r>
              <w:rPr>
                <w:b w:val="false"/>
                <w:bCs w:val="false"/>
                <w:color w:val="C00000"/>
                <w:sz w:val="18"/>
                <w:szCs w:val="18"/>
              </w:rPr>
              <w:t xml:space="preserve">-0.28%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Low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SMCI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Super Micro Computer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AI server manufacturing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$28.31</w:t>
            </w:r>
          </w:p>
        </w:tc>
        <w:tc>
          <w:tcPr>
            <w:tcW w:type="dxa" w:w="1000"/>
          </w:tcPr>
          <w:p>
            <w:pPr>
              <w:jc w:val="center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 xml:space="preserve">+0.25%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Low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MRVL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Marvell Technology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Custom AI silicon / networking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$235.81</w:t>
            </w:r>
          </w:p>
        </w:tc>
        <w:tc>
          <w:tcPr>
            <w:tcW w:type="dxa" w:w="1000"/>
          </w:tcPr>
          <w:p>
            <w:pPr>
              <w:jc w:val="center"/>
            </w:pPr>
            <w:r>
              <w:rPr>
                <w:b w:val="false"/>
                <w:bCs w:val="false"/>
                <w:color w:val="C00000"/>
                <w:sz w:val="18"/>
                <w:szCs w:val="18"/>
              </w:rPr>
              <w:t xml:space="preserve">-3.07%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Medium</w:t>
            </w:r>
          </w:p>
        </w:tc>
      </w:tr>
    </w:tbl>
    <w:p>
      <w:pPr>
        <w:pStyle w:val="Heading1"/>
        <w:spacing w:after="140" w:before="280"/>
      </w:pPr>
      <w:r>
        <w:t xml:space="preserve">4. Sector-Relative Valuation Cross-Check — “Am I Overpaying?”</w:t>
      </w:r>
    </w:p>
    <w:p>
      <w:pPr>
        <w:spacing w:after="140"/>
      </w:pPr>
      <w:r>
        <w:t xml:space="preserve">This section applies the account's own sector comps workbook logic directly: every operating company across both Holdings and Watchlist is grouped into 9 true sector peer groups, and each name's trailing P/E and EV/EBITDA is measured against its own peer-group median (not a blanket market average). A name more than ~15% above its peer median on both metrics is flagged RICH; more than ~15% below on both is flagged CHEAP. This is a screening lens, not a valuation call — names can be legitimately rich (superior growth/margins) or legitimately cheap (real fundamental discount).</w:t>
      </w:r>
    </w:p>
    <w:p>
      <w:pPr>
        <w:pStyle w:val="Heading2"/>
        <w:spacing w:after="140" w:before="280"/>
      </w:pPr>
      <w:r>
        <w:t xml:space="preserve">Semiconductors &amp; Chips  (peer median P/E 58.61 · median EV/EBITDA 44.0x · median PEG 0.82, n=10)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2400"/>
        <w:gridCol w:w="1100"/>
        <w:gridCol w:w="1100"/>
        <w:gridCol w:w="900"/>
        <w:gridCol w:w="1100"/>
        <w:gridCol w:w="1800"/>
      </w:tblGrid>
      <w:tr>
        <w:tc>
          <w:tcPr>
            <w:tcW w:type="dxa" w:w="8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Ticker</w:t>
            </w:r>
          </w:p>
        </w:tc>
        <w:tc>
          <w:tcPr>
            <w:tcW w:type="dxa" w:w="24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Company</w:t>
            </w:r>
          </w:p>
        </w:tc>
        <w:tc>
          <w:tcPr>
            <w:tcW w:type="dxa" w:w="11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P/E (TTM)</w:t>
            </w:r>
          </w:p>
        </w:tc>
        <w:tc>
          <w:tcPr>
            <w:tcW w:type="dxa" w:w="11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EV/EBITDA</w:t>
            </w:r>
          </w:p>
        </w:tc>
        <w:tc>
          <w:tcPr>
            <w:tcW w:type="dxa" w:w="9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PEG</w:t>
            </w:r>
          </w:p>
        </w:tc>
        <w:tc>
          <w:tcPr>
            <w:tcW w:type="dxa" w:w="11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Fwd Rev Gr.</w:t>
            </w:r>
          </w:p>
        </w:tc>
        <w:tc>
          <w:tcPr>
            <w:tcW w:type="dxa" w:w="18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Read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NVDA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NVIDIA Corporation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31.17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29.5x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0.45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46.9%</w:t>
            </w:r>
          </w:p>
        </w:tc>
        <w:tc>
          <w:tcPr>
            <w:tcW w:type="dxa" w:w="1800"/>
          </w:tcPr>
          <w:p>
            <w:pPr>
              <w:jc w:val="left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 xml:space="preserve">P/E CHEAP vs peers · EV/EBITDA CHEAP vs peers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TSM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Taiwan Semiconductor Mfg Co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32.95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21.3x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n/a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29.7%</w:t>
            </w:r>
          </w:p>
        </w:tc>
        <w:tc>
          <w:tcPr>
            <w:tcW w:type="dxa" w:w="1800"/>
          </w:tcPr>
          <w:p>
            <w:pPr>
              <w:jc w:val="left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 xml:space="preserve">P/E CHEAP vs peers · EV/EBITDA CHEAP vs peers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AVGO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Broadcom Inc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66.57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44.7x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0.55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53.0%</w:t>
            </w:r>
          </w:p>
        </w:tc>
        <w:tc>
          <w:tcPr>
            <w:tcW w:type="dxa" w:w="18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P/E in line · EV/EBITDA in line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MU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Micron Technology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22.10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15.1x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0.04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90.6%</w:t>
            </w:r>
          </w:p>
        </w:tc>
        <w:tc>
          <w:tcPr>
            <w:tcW w:type="dxa" w:w="1800"/>
          </w:tcPr>
          <w:p>
            <w:pPr>
              <w:jc w:val="left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 xml:space="preserve">P/E CHEAP vs peers · EV/EBITDA CHEAP vs peers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AMD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Advanced Micro Devices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186.04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119.1x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1.08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44.7%</w:t>
            </w:r>
          </w:p>
        </w:tc>
        <w:tc>
          <w:tcPr>
            <w:tcW w:type="dxa" w:w="1800"/>
          </w:tcPr>
          <w:p>
            <w:pPr>
              <w:jc w:val="left"/>
            </w:pPr>
            <w:r>
              <w:rPr>
                <w:b w:val="false"/>
                <w:bCs w:val="false"/>
                <w:color w:val="C00000"/>
                <w:sz w:val="18"/>
                <w:szCs w:val="18"/>
              </w:rPr>
              <w:t xml:space="preserve">P/E RICH vs peers · EV/EBITDA RICH vs peers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ASML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ASML Holding N.V.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58.61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45.7x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n/a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19.8%</w:t>
            </w:r>
          </w:p>
        </w:tc>
        <w:tc>
          <w:tcPr>
            <w:tcW w:type="dxa" w:w="18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P/E in line · EV/EBITDA in line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INTC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Intel Corporation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n/a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39.8x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1.39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11.5%</w:t>
            </w:r>
          </w:p>
        </w:tc>
        <w:tc>
          <w:tcPr>
            <w:tcW w:type="dxa" w:w="18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EV/EBITDA in line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ARM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Arm Holdings plc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353.26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298.3x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4.47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29.3%</w:t>
            </w:r>
          </w:p>
        </w:tc>
        <w:tc>
          <w:tcPr>
            <w:tcW w:type="dxa" w:w="1800"/>
          </w:tcPr>
          <w:p>
            <w:pPr>
              <w:jc w:val="left"/>
            </w:pPr>
            <w:r>
              <w:rPr>
                <w:b w:val="false"/>
                <w:bCs w:val="false"/>
                <w:color w:val="C00000"/>
                <w:sz w:val="18"/>
                <w:szCs w:val="18"/>
              </w:rPr>
              <w:t xml:space="preserve">P/E RICH vs peers · EV/EBITDA RICH vs peers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SNDK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Sandisk Corporation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56.35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43.4x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0.03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95.2%</w:t>
            </w:r>
          </w:p>
        </w:tc>
        <w:tc>
          <w:tcPr>
            <w:tcW w:type="dxa" w:w="18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P/E in line · EV/EBITDA in line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MRVL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Marvell Technology Inc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75.14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70.5x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1.47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41.4%</w:t>
            </w:r>
          </w:p>
        </w:tc>
        <w:tc>
          <w:tcPr>
            <w:tcW w:type="dxa" w:w="1800"/>
          </w:tcPr>
          <w:p>
            <w:pPr>
              <w:jc w:val="left"/>
            </w:pPr>
            <w:r>
              <w:rPr>
                <w:b w:val="false"/>
                <w:bCs w:val="false"/>
                <w:color w:val="C00000"/>
                <w:sz w:val="18"/>
                <w:szCs w:val="18"/>
              </w:rPr>
              <w:t xml:space="preserve">P/E RICH vs peers · EV/EBITDA RICH vs peers</w:t>
            </w:r>
          </w:p>
        </w:tc>
      </w:tr>
    </w:tbl>
    <w:p>
      <w:pPr>
        <w:spacing w:after="160"/>
      </w:pPr>
    </w:p>
    <w:p>
      <w:pPr>
        <w:pStyle w:val="Heading2"/>
        <w:spacing w:after="140" w:before="280"/>
      </w:pPr>
      <w:r>
        <w:t xml:space="preserve">Mega-Cap Tech Platforms  (peer median P/E 26.89 · median EV/EBITDA 17.6x · median PEG 1.38, n=5)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2400"/>
        <w:gridCol w:w="1100"/>
        <w:gridCol w:w="1100"/>
        <w:gridCol w:w="900"/>
        <w:gridCol w:w="1100"/>
        <w:gridCol w:w="1800"/>
      </w:tblGrid>
      <w:tr>
        <w:tc>
          <w:tcPr>
            <w:tcW w:type="dxa" w:w="8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Ticker</w:t>
            </w:r>
          </w:p>
        </w:tc>
        <w:tc>
          <w:tcPr>
            <w:tcW w:type="dxa" w:w="24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Company</w:t>
            </w:r>
          </w:p>
        </w:tc>
        <w:tc>
          <w:tcPr>
            <w:tcW w:type="dxa" w:w="11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P/E (TTM)</w:t>
            </w:r>
          </w:p>
        </w:tc>
        <w:tc>
          <w:tcPr>
            <w:tcW w:type="dxa" w:w="11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EV/EBITDA</w:t>
            </w:r>
          </w:p>
        </w:tc>
        <w:tc>
          <w:tcPr>
            <w:tcW w:type="dxa" w:w="9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PEG</w:t>
            </w:r>
          </w:p>
        </w:tc>
        <w:tc>
          <w:tcPr>
            <w:tcW w:type="dxa" w:w="11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Fwd Rev Gr.</w:t>
            </w:r>
          </w:p>
        </w:tc>
        <w:tc>
          <w:tcPr>
            <w:tcW w:type="dxa" w:w="18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Read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AAPL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Apple Inc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38.22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28.8x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3.01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10.5%</w:t>
            </w:r>
          </w:p>
        </w:tc>
        <w:tc>
          <w:tcPr>
            <w:tcW w:type="dxa" w:w="1800"/>
          </w:tcPr>
          <w:p>
            <w:pPr>
              <w:jc w:val="left"/>
            </w:pPr>
            <w:r>
              <w:rPr>
                <w:b w:val="false"/>
                <w:bCs w:val="false"/>
                <w:color w:val="C00000"/>
                <w:sz w:val="18"/>
                <w:szCs w:val="18"/>
              </w:rPr>
              <w:t xml:space="preserve">P/E RICH vs peers · EV/EBITDA RICH vs peers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GOOGL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Alphabet Inc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26.89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26.5x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1.77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19.4%</w:t>
            </w:r>
          </w:p>
        </w:tc>
        <w:tc>
          <w:tcPr>
            <w:tcW w:type="dxa" w:w="1800"/>
          </w:tcPr>
          <w:p>
            <w:pPr>
              <w:jc w:val="left"/>
            </w:pPr>
            <w:r>
              <w:rPr>
                <w:b w:val="false"/>
                <w:bCs w:val="false"/>
                <w:color w:val="C00000"/>
                <w:sz w:val="18"/>
                <w:szCs w:val="18"/>
              </w:rPr>
              <w:t xml:space="preserve">P/E in line · EV/EBITDA RICH vs peers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MSFT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Microsoft Corporation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23.29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16.0x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1.31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17.3%</w:t>
            </w:r>
          </w:p>
        </w:tc>
        <w:tc>
          <w:tcPr>
            <w:tcW w:type="dxa" w:w="18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P/E in line · EV/EBITDA in line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AMZN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Amazon.com Inc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29.58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17.6x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1.38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14.0%</w:t>
            </w:r>
          </w:p>
        </w:tc>
        <w:tc>
          <w:tcPr>
            <w:tcW w:type="dxa" w:w="18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P/E in line · EV/EBITDA in line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META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Meta Platforms Inc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23.89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15.3x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0.97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20.8%</w:t>
            </w:r>
          </w:p>
        </w:tc>
        <w:tc>
          <w:tcPr>
            <w:tcW w:type="dxa" w:w="18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P/E in line · EV/EBITDA in line</w:t>
            </w:r>
          </w:p>
        </w:tc>
      </w:tr>
    </w:tbl>
    <w:p>
      <w:pPr>
        <w:spacing w:after="160"/>
      </w:pPr>
    </w:p>
    <w:p>
      <w:pPr>
        <w:pStyle w:val="Heading2"/>
        <w:spacing w:after="140" w:before="280"/>
      </w:pPr>
      <w:r>
        <w:t xml:space="preserve">Enterprise Software &amp; Cloud  (peer median P/E 64.12 · median EV/EBITDA 37.8x · median PEG 1.00, n=5)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2400"/>
        <w:gridCol w:w="1100"/>
        <w:gridCol w:w="1100"/>
        <w:gridCol w:w="900"/>
        <w:gridCol w:w="1100"/>
        <w:gridCol w:w="1800"/>
      </w:tblGrid>
      <w:tr>
        <w:tc>
          <w:tcPr>
            <w:tcW w:type="dxa" w:w="8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Ticker</w:t>
            </w:r>
          </w:p>
        </w:tc>
        <w:tc>
          <w:tcPr>
            <w:tcW w:type="dxa" w:w="24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Company</w:t>
            </w:r>
          </w:p>
        </w:tc>
        <w:tc>
          <w:tcPr>
            <w:tcW w:type="dxa" w:w="11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P/E (TTM)</w:t>
            </w:r>
          </w:p>
        </w:tc>
        <w:tc>
          <w:tcPr>
            <w:tcW w:type="dxa" w:w="11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EV/EBITDA</w:t>
            </w:r>
          </w:p>
        </w:tc>
        <w:tc>
          <w:tcPr>
            <w:tcW w:type="dxa" w:w="9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PEG</w:t>
            </w:r>
          </w:p>
        </w:tc>
        <w:tc>
          <w:tcPr>
            <w:tcW w:type="dxa" w:w="11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Fwd Rev Gr.</w:t>
            </w:r>
          </w:p>
        </w:tc>
        <w:tc>
          <w:tcPr>
            <w:tcW w:type="dxa" w:w="18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Read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ORCL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Oracle Corporation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24.12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17.2x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0.62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39.1%</w:t>
            </w:r>
          </w:p>
        </w:tc>
        <w:tc>
          <w:tcPr>
            <w:tcW w:type="dxa" w:w="1800"/>
          </w:tcPr>
          <w:p>
            <w:pPr>
              <w:jc w:val="left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 xml:space="preserve">P/E CHEAP vs peers · EV/EBITDA CHEAP vs peers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PLTR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Palantir Technologies Inc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142.53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148.6x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1.55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53.0%</w:t>
            </w:r>
          </w:p>
        </w:tc>
        <w:tc>
          <w:tcPr>
            <w:tcW w:type="dxa" w:w="1800"/>
          </w:tcPr>
          <w:p>
            <w:pPr>
              <w:jc w:val="left"/>
            </w:pPr>
            <w:r>
              <w:rPr>
                <w:b w:val="false"/>
                <w:bCs w:val="false"/>
                <w:color w:val="C00000"/>
                <w:sz w:val="18"/>
                <w:szCs w:val="18"/>
              </w:rPr>
              <w:t xml:space="preserve">P/E RICH vs peers · EV/EBITDA RICH vs peers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CRM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Salesforce Inc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18.96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13.2x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0.72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10.1%</w:t>
            </w:r>
          </w:p>
        </w:tc>
        <w:tc>
          <w:tcPr>
            <w:tcW w:type="dxa" w:w="1800"/>
          </w:tcPr>
          <w:p>
            <w:pPr>
              <w:jc w:val="left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 xml:space="preserve">P/E CHEAP vs peers · EV/EBITDA CHEAP vs peers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NOW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ServiceNow Inc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64.12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37.8x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1.00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19.9%</w:t>
            </w:r>
          </w:p>
        </w:tc>
        <w:tc>
          <w:tcPr>
            <w:tcW w:type="dxa" w:w="18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P/E in line · EV/EBITDA in line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DDOG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Datadog Inc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675.14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2546.2x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3.85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24.2%</w:t>
            </w:r>
          </w:p>
        </w:tc>
        <w:tc>
          <w:tcPr>
            <w:tcW w:type="dxa" w:w="1800"/>
          </w:tcPr>
          <w:p>
            <w:pPr>
              <w:jc w:val="left"/>
            </w:pPr>
            <w:r>
              <w:rPr>
                <w:b w:val="false"/>
                <w:bCs w:val="false"/>
                <w:color w:val="C00000"/>
                <w:sz w:val="18"/>
                <w:szCs w:val="18"/>
              </w:rPr>
              <w:t xml:space="preserve">P/E RICH vs peers · EV/EBITDA RICH vs peers</w:t>
            </w:r>
          </w:p>
        </w:tc>
      </w:tr>
    </w:tbl>
    <w:p>
      <w:pPr>
        <w:spacing w:after="160"/>
      </w:pPr>
    </w:p>
    <w:p>
      <w:pPr>
        <w:pStyle w:val="Heading2"/>
        <w:spacing w:after="140" w:before="280"/>
      </w:pPr>
      <w:r>
        <w:t xml:space="preserve">Cybersecurity Software  (peer median P/E 174.49 · median EV/EBITDA 181.2x · median PEG 5.08, n=3)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2400"/>
        <w:gridCol w:w="1100"/>
        <w:gridCol w:w="1100"/>
        <w:gridCol w:w="900"/>
        <w:gridCol w:w="1100"/>
        <w:gridCol w:w="1800"/>
      </w:tblGrid>
      <w:tr>
        <w:tc>
          <w:tcPr>
            <w:tcW w:type="dxa" w:w="8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Ticker</w:t>
            </w:r>
          </w:p>
        </w:tc>
        <w:tc>
          <w:tcPr>
            <w:tcW w:type="dxa" w:w="24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Company</w:t>
            </w:r>
          </w:p>
        </w:tc>
        <w:tc>
          <w:tcPr>
            <w:tcW w:type="dxa" w:w="11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P/E (TTM)</w:t>
            </w:r>
          </w:p>
        </w:tc>
        <w:tc>
          <w:tcPr>
            <w:tcW w:type="dxa" w:w="11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EV/EBITDA</w:t>
            </w:r>
          </w:p>
        </w:tc>
        <w:tc>
          <w:tcPr>
            <w:tcW w:type="dxa" w:w="9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PEG</w:t>
            </w:r>
          </w:p>
        </w:tc>
        <w:tc>
          <w:tcPr>
            <w:tcW w:type="dxa" w:w="11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Fwd Rev Gr.</w:t>
            </w:r>
          </w:p>
        </w:tc>
        <w:tc>
          <w:tcPr>
            <w:tcW w:type="dxa" w:w="18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Read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PANW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Palo Alto Networks Inc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287.91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181.2x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5.55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19.4%</w:t>
            </w:r>
          </w:p>
        </w:tc>
        <w:tc>
          <w:tcPr>
            <w:tcW w:type="dxa" w:w="1800"/>
          </w:tcPr>
          <w:p>
            <w:pPr>
              <w:jc w:val="left"/>
            </w:pPr>
            <w:r>
              <w:rPr>
                <w:b w:val="false"/>
                <w:bCs w:val="false"/>
                <w:color w:val="C00000"/>
                <w:sz w:val="18"/>
                <w:szCs w:val="18"/>
              </w:rPr>
              <w:t xml:space="preserve">P/E RICH vs peers · EV/EBITDA in line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CRWD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CrowdStrike Holdings Inc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n/a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3162.7x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5.08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22.5%</w:t>
            </w:r>
          </w:p>
        </w:tc>
        <w:tc>
          <w:tcPr>
            <w:tcW w:type="dxa" w:w="1800"/>
          </w:tcPr>
          <w:p>
            <w:pPr>
              <w:jc w:val="left"/>
            </w:pPr>
            <w:r>
              <w:rPr>
                <w:b w:val="false"/>
                <w:bCs w:val="false"/>
                <w:color w:val="C00000"/>
                <w:sz w:val="18"/>
                <w:szCs w:val="18"/>
              </w:rPr>
              <w:t xml:space="preserve">EV/EBITDA RICH vs peers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FTNT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Fortinet Inc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61.07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48.7x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3.80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12.0%</w:t>
            </w:r>
          </w:p>
        </w:tc>
        <w:tc>
          <w:tcPr>
            <w:tcW w:type="dxa" w:w="1800"/>
          </w:tcPr>
          <w:p>
            <w:pPr>
              <w:jc w:val="left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 xml:space="preserve">P/E CHEAP vs peers · EV/EBITDA CHEAP vs peers</w:t>
            </w:r>
          </w:p>
        </w:tc>
      </w:tr>
    </w:tbl>
    <w:p>
      <w:pPr>
        <w:spacing w:after="160"/>
      </w:pPr>
    </w:p>
    <w:p>
      <w:pPr>
        <w:pStyle w:val="Heading2"/>
        <w:spacing w:after="140" w:before="280"/>
      </w:pPr>
      <w:r>
        <w:t xml:space="preserve">AI Infrastructure &amp; Neoclouds  (peer median P/E 65.77 · median EV/EBITDA 38.1x · median PEG 0.84, n=6)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2400"/>
        <w:gridCol w:w="1100"/>
        <w:gridCol w:w="1100"/>
        <w:gridCol w:w="900"/>
        <w:gridCol w:w="1100"/>
        <w:gridCol w:w="1800"/>
      </w:tblGrid>
      <w:tr>
        <w:tc>
          <w:tcPr>
            <w:tcW w:type="dxa" w:w="8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Ticker</w:t>
            </w:r>
          </w:p>
        </w:tc>
        <w:tc>
          <w:tcPr>
            <w:tcW w:type="dxa" w:w="24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Company</w:t>
            </w:r>
          </w:p>
        </w:tc>
        <w:tc>
          <w:tcPr>
            <w:tcW w:type="dxa" w:w="11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P/E (TTM)</w:t>
            </w:r>
          </w:p>
        </w:tc>
        <w:tc>
          <w:tcPr>
            <w:tcW w:type="dxa" w:w="11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EV/EBITDA</w:t>
            </w:r>
          </w:p>
        </w:tc>
        <w:tc>
          <w:tcPr>
            <w:tcW w:type="dxa" w:w="9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PEG</w:t>
            </w:r>
          </w:p>
        </w:tc>
        <w:tc>
          <w:tcPr>
            <w:tcW w:type="dxa" w:w="11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Fwd Rev Gr.</w:t>
            </w:r>
          </w:p>
        </w:tc>
        <w:tc>
          <w:tcPr>
            <w:tcW w:type="dxa" w:w="18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Read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VRT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Vertiv Holdings Co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76.87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49.7x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1.35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28.3%</w:t>
            </w:r>
          </w:p>
        </w:tc>
        <w:tc>
          <w:tcPr>
            <w:tcW w:type="dxa" w:w="1800"/>
          </w:tcPr>
          <w:p>
            <w:pPr>
              <w:jc w:val="left"/>
            </w:pPr>
            <w:r>
              <w:rPr>
                <w:b w:val="false"/>
                <w:bCs w:val="false"/>
                <w:color w:val="C00000"/>
                <w:sz w:val="18"/>
                <w:szCs w:val="18"/>
              </w:rPr>
              <w:t xml:space="preserve">P/E RICH vs peers · EV/EBITDA RICH vs peers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NBIS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Nebius Group N.V.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65.77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n/a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n/a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245.3%</w:t>
            </w:r>
          </w:p>
        </w:tc>
        <w:tc>
          <w:tcPr>
            <w:tcW w:type="dxa" w:w="18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P/E in line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CRWV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CoreWeave Inc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n/a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26.5x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n/a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98.7%</w:t>
            </w:r>
          </w:p>
        </w:tc>
        <w:tc>
          <w:tcPr>
            <w:tcW w:type="dxa" w:w="1800"/>
          </w:tcPr>
          <w:p>
            <w:pPr>
              <w:jc w:val="left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 xml:space="preserve">EV/EBITDA CHEAP vs peers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SMCI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Super Micro Computer Inc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14.50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16.3x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0.33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40.6%</w:t>
            </w:r>
          </w:p>
        </w:tc>
        <w:tc>
          <w:tcPr>
            <w:tcW w:type="dxa" w:w="1800"/>
          </w:tcPr>
          <w:p>
            <w:pPr>
              <w:jc w:val="left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 xml:space="preserve">P/E CHEAP vs peers · EV/EBITDA CHEAP vs peers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APLD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Applied Digital Corporation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n/a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671.5x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n/a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123.9%</w:t>
            </w:r>
          </w:p>
        </w:tc>
        <w:tc>
          <w:tcPr>
            <w:tcW w:type="dxa" w:w="1800"/>
          </w:tcPr>
          <w:p>
            <w:pPr>
              <w:jc w:val="left"/>
            </w:pPr>
            <w:r>
              <w:rPr>
                <w:b w:val="false"/>
                <w:bCs w:val="false"/>
                <w:color w:val="C00000"/>
                <w:sz w:val="18"/>
                <w:szCs w:val="18"/>
              </w:rPr>
              <w:t xml:space="preserve">EV/EBITDA RICH vs peers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WYFI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WhiteFiber Inc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n/a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n/a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n/a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89.9%</w:t>
            </w:r>
          </w:p>
        </w:tc>
        <w:tc>
          <w:tcPr>
            <w:tcW w:type="dxa" w:w="18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insufficient data</w:t>
            </w:r>
          </w:p>
        </w:tc>
      </w:tr>
    </w:tbl>
    <w:p>
      <w:pPr>
        <w:spacing w:after="160"/>
      </w:pPr>
    </w:p>
    <w:p>
      <w:pPr>
        <w:pStyle w:val="Heading2"/>
        <w:spacing w:after="140" w:before="280"/>
      </w:pPr>
      <w:r>
        <w:t xml:space="preserve">Power &amp; Utilities  (peer median P/E 27.05 · median EV/EBITDA 24.3x · median PEG 0.38, n=2)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2400"/>
        <w:gridCol w:w="1100"/>
        <w:gridCol w:w="1100"/>
        <w:gridCol w:w="900"/>
        <w:gridCol w:w="1100"/>
        <w:gridCol w:w="1800"/>
      </w:tblGrid>
      <w:tr>
        <w:tc>
          <w:tcPr>
            <w:tcW w:type="dxa" w:w="8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Ticker</w:t>
            </w:r>
          </w:p>
        </w:tc>
        <w:tc>
          <w:tcPr>
            <w:tcW w:type="dxa" w:w="24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Company</w:t>
            </w:r>
          </w:p>
        </w:tc>
        <w:tc>
          <w:tcPr>
            <w:tcW w:type="dxa" w:w="11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P/E (TTM)</w:t>
            </w:r>
          </w:p>
        </w:tc>
        <w:tc>
          <w:tcPr>
            <w:tcW w:type="dxa" w:w="11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EV/EBITDA</w:t>
            </w:r>
          </w:p>
        </w:tc>
        <w:tc>
          <w:tcPr>
            <w:tcW w:type="dxa" w:w="9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PEG</w:t>
            </w:r>
          </w:p>
        </w:tc>
        <w:tc>
          <w:tcPr>
            <w:tcW w:type="dxa" w:w="11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Fwd Rev Gr.</w:t>
            </w:r>
          </w:p>
        </w:tc>
        <w:tc>
          <w:tcPr>
            <w:tcW w:type="dxa" w:w="18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Read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VST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Vistra Corp.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27.05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10.8x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0.38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7.8%</w:t>
            </w:r>
          </w:p>
        </w:tc>
        <w:tc>
          <w:tcPr>
            <w:tcW w:type="dxa" w:w="1800"/>
          </w:tcPr>
          <w:p>
            <w:pPr>
              <w:jc w:val="left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 xml:space="preserve">P/E in line · EV/EBITDA CHEAP vs peers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TLN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Talen Energy Corporation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n/a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37.9x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0.38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28.1%</w:t>
            </w:r>
          </w:p>
        </w:tc>
        <w:tc>
          <w:tcPr>
            <w:tcW w:type="dxa" w:w="1800"/>
          </w:tcPr>
          <w:p>
            <w:pPr>
              <w:jc w:val="left"/>
            </w:pPr>
            <w:r>
              <w:rPr>
                <w:b w:val="false"/>
                <w:bCs w:val="false"/>
                <w:color w:val="C00000"/>
                <w:sz w:val="18"/>
                <w:szCs w:val="18"/>
              </w:rPr>
              <w:t xml:space="preserve">EV/EBITDA RICH vs peers</w:t>
            </w:r>
          </w:p>
        </w:tc>
      </w:tr>
    </w:tbl>
    <w:p>
      <w:pPr>
        <w:spacing w:after="160"/>
      </w:pPr>
    </w:p>
    <w:p>
      <w:pPr>
        <w:pStyle w:val="Heading2"/>
        <w:spacing w:after="140" w:before="280"/>
      </w:pPr>
      <w:r>
        <w:t xml:space="preserve">Emerging/Disruptive Growth  (peer median P/E 42.20 · median EV/EBITDA 1074.2x · median PEG 0.26, n=4)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2400"/>
        <w:gridCol w:w="1100"/>
        <w:gridCol w:w="1100"/>
        <w:gridCol w:w="900"/>
        <w:gridCol w:w="1100"/>
        <w:gridCol w:w="1800"/>
      </w:tblGrid>
      <w:tr>
        <w:tc>
          <w:tcPr>
            <w:tcW w:type="dxa" w:w="8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Ticker</w:t>
            </w:r>
          </w:p>
        </w:tc>
        <w:tc>
          <w:tcPr>
            <w:tcW w:type="dxa" w:w="24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Company</w:t>
            </w:r>
          </w:p>
        </w:tc>
        <w:tc>
          <w:tcPr>
            <w:tcW w:type="dxa" w:w="11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P/E (TTM)</w:t>
            </w:r>
          </w:p>
        </w:tc>
        <w:tc>
          <w:tcPr>
            <w:tcW w:type="dxa" w:w="11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EV/EBITDA</w:t>
            </w:r>
          </w:p>
        </w:tc>
        <w:tc>
          <w:tcPr>
            <w:tcW w:type="dxa" w:w="9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PEG</w:t>
            </w:r>
          </w:p>
        </w:tc>
        <w:tc>
          <w:tcPr>
            <w:tcW w:type="dxa" w:w="11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Fwd Rev Gr.</w:t>
            </w:r>
          </w:p>
        </w:tc>
        <w:tc>
          <w:tcPr>
            <w:tcW w:type="dxa" w:w="18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Read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RKLB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Rocket Lab Corporation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n/a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n/a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n/a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41.1%</w:t>
            </w:r>
          </w:p>
        </w:tc>
        <w:tc>
          <w:tcPr>
            <w:tcW w:type="dxa" w:w="18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insufficient data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SYM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Symbotic Inc.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n/a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1074.2x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0.26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25.9%</w:t>
            </w:r>
          </w:p>
        </w:tc>
        <w:tc>
          <w:tcPr>
            <w:tcW w:type="dxa" w:w="18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EV/EBITDA in line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IONQ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IonQ, Inc.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42.20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n/a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n/a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70.0%</w:t>
            </w:r>
          </w:p>
        </w:tc>
        <w:tc>
          <w:tcPr>
            <w:tcW w:type="dxa" w:w="18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P/E in line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TEM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Tempus AI, Inc.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n/a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n/a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n/a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22.3%</w:t>
            </w:r>
          </w:p>
        </w:tc>
        <w:tc>
          <w:tcPr>
            <w:tcW w:type="dxa" w:w="18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insufficient data</w:t>
            </w:r>
          </w:p>
        </w:tc>
      </w:tr>
    </w:tbl>
    <w:p>
      <w:pPr>
        <w:spacing w:after="160"/>
      </w:pPr>
    </w:p>
    <w:p>
      <w:pPr>
        <w:pStyle w:val="Heading2"/>
        <w:spacing w:after="140" w:before="280"/>
      </w:pPr>
      <w:r>
        <w:t xml:space="preserve">Fintech &amp; Marketplaces  (peer median P/E 36.23 · median EV/EBITDA 30.3x · median PEG 1.79, n=2)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2400"/>
        <w:gridCol w:w="1100"/>
        <w:gridCol w:w="1100"/>
        <w:gridCol w:w="900"/>
        <w:gridCol w:w="1100"/>
        <w:gridCol w:w="1800"/>
      </w:tblGrid>
      <w:tr>
        <w:tc>
          <w:tcPr>
            <w:tcW w:type="dxa" w:w="8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Ticker</w:t>
            </w:r>
          </w:p>
        </w:tc>
        <w:tc>
          <w:tcPr>
            <w:tcW w:type="dxa" w:w="24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Company</w:t>
            </w:r>
          </w:p>
        </w:tc>
        <w:tc>
          <w:tcPr>
            <w:tcW w:type="dxa" w:w="11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P/E (TTM)</w:t>
            </w:r>
          </w:p>
        </w:tc>
        <w:tc>
          <w:tcPr>
            <w:tcW w:type="dxa" w:w="11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EV/EBITDA</w:t>
            </w:r>
          </w:p>
        </w:tc>
        <w:tc>
          <w:tcPr>
            <w:tcW w:type="dxa" w:w="9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PEG</w:t>
            </w:r>
          </w:p>
        </w:tc>
        <w:tc>
          <w:tcPr>
            <w:tcW w:type="dxa" w:w="11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Fwd Rev Gr.</w:t>
            </w:r>
          </w:p>
        </w:tc>
        <w:tc>
          <w:tcPr>
            <w:tcW w:type="dxa" w:w="18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Read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UBER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Uber Technologies, Inc.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18.36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21.9x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0.72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13.4%</w:t>
            </w:r>
          </w:p>
        </w:tc>
        <w:tc>
          <w:tcPr>
            <w:tcW w:type="dxa" w:w="1800"/>
          </w:tcPr>
          <w:p>
            <w:pPr>
              <w:jc w:val="left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 xml:space="preserve">P/E CHEAP vs peers · EV/EBITDA CHEAP vs peers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COIN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Coinbase Global, Inc.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54.10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38.8x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2.85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6.2%</w:t>
            </w:r>
          </w:p>
        </w:tc>
        <w:tc>
          <w:tcPr>
            <w:tcW w:type="dxa" w:w="1800"/>
          </w:tcPr>
          <w:p>
            <w:pPr>
              <w:jc w:val="left"/>
            </w:pPr>
            <w:r>
              <w:rPr>
                <w:b w:val="false"/>
                <w:bCs w:val="false"/>
                <w:color w:val="C00000"/>
                <w:sz w:val="18"/>
                <w:szCs w:val="18"/>
              </w:rPr>
              <w:t xml:space="preserve">P/E RICH vs peers · EV/EBITDA RICH vs peers</w:t>
            </w:r>
          </w:p>
        </w:tc>
      </w:tr>
    </w:tbl>
    <w:p>
      <w:pPr>
        <w:spacing w:after="160"/>
      </w:pPr>
    </w:p>
    <w:p>
      <w:pPr>
        <w:pStyle w:val="Heading2"/>
        <w:spacing w:after="140" w:before="280"/>
      </w:pPr>
      <w:r>
        <w:t xml:space="preserve">Consumer Brands &amp; Travel  (peer median P/E 23.85 · median EV/EBITDA 16.2x · median PEG 0.87, n=4)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2400"/>
        <w:gridCol w:w="1100"/>
        <w:gridCol w:w="1100"/>
        <w:gridCol w:w="900"/>
        <w:gridCol w:w="1100"/>
        <w:gridCol w:w="1800"/>
      </w:tblGrid>
      <w:tr>
        <w:tc>
          <w:tcPr>
            <w:tcW w:type="dxa" w:w="8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Ticker</w:t>
            </w:r>
          </w:p>
        </w:tc>
        <w:tc>
          <w:tcPr>
            <w:tcW w:type="dxa" w:w="24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Company</w:t>
            </w:r>
          </w:p>
        </w:tc>
        <w:tc>
          <w:tcPr>
            <w:tcW w:type="dxa" w:w="11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P/E (TTM)</w:t>
            </w:r>
          </w:p>
        </w:tc>
        <w:tc>
          <w:tcPr>
            <w:tcW w:type="dxa" w:w="11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EV/EBITDA</w:t>
            </w:r>
          </w:p>
        </w:tc>
        <w:tc>
          <w:tcPr>
            <w:tcW w:type="dxa" w:w="9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PEG</w:t>
            </w:r>
          </w:p>
        </w:tc>
        <w:tc>
          <w:tcPr>
            <w:tcW w:type="dxa" w:w="11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Fwd Rev Gr.</w:t>
            </w:r>
          </w:p>
        </w:tc>
        <w:tc>
          <w:tcPr>
            <w:tcW w:type="dxa" w:w="18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Read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NFLX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Netflix, Inc.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23.85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22.1x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1.06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11.9%</w:t>
            </w:r>
          </w:p>
        </w:tc>
        <w:tc>
          <w:tcPr>
            <w:tcW w:type="dxa" w:w="1800"/>
          </w:tcPr>
          <w:p>
            <w:pPr>
              <w:jc w:val="left"/>
            </w:pPr>
            <w:r>
              <w:rPr>
                <w:b w:val="false"/>
                <w:bCs w:val="false"/>
                <w:color w:val="C00000"/>
                <w:sz w:val="18"/>
                <w:szCs w:val="18"/>
              </w:rPr>
              <w:t xml:space="preserve">P/E in line · EV/EBITDA RICH vs peers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EL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The Estee Lauder Companies Inc.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n/a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15.2x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0.68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4.2%</w:t>
            </w:r>
          </w:p>
        </w:tc>
        <w:tc>
          <w:tcPr>
            <w:tcW w:type="dxa" w:w="18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EV/EBITDA in line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AAL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American Airlines Group Inc.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55.79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9.4x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0.28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7.4%</w:t>
            </w:r>
          </w:p>
        </w:tc>
        <w:tc>
          <w:tcPr>
            <w:tcW w:type="dxa" w:w="1800"/>
          </w:tcPr>
          <w:p>
            <w:pPr>
              <w:jc w:val="left"/>
            </w:pPr>
            <w:r>
              <w:rPr>
                <w:b w:val="false"/>
                <w:bCs w:val="false"/>
                <w:color w:val="C00000"/>
                <w:sz w:val="18"/>
                <w:szCs w:val="18"/>
              </w:rPr>
              <w:t xml:space="preserve">P/E RICH vs peers · EV/EBITDA CHEAP vs peers</w:t>
            </w:r>
          </w:p>
        </w:tc>
      </w:tr>
      <w:tr>
        <w:tc>
          <w:tcPr>
            <w:tcW w:type="dxa" w:w="800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CAKE</w:t>
            </w:r>
          </w:p>
        </w:tc>
        <w:tc>
          <w:tcPr>
            <w:tcW w:type="dxa" w:w="24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The Cheesecake Factory Incorporated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23.31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17.3x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1.88</w:t>
            </w:r>
          </w:p>
        </w:tc>
        <w:tc>
          <w:tcPr>
            <w:tcW w:type="dxa" w:w="11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6.1%</w:t>
            </w:r>
          </w:p>
        </w:tc>
        <w:tc>
          <w:tcPr>
            <w:tcW w:type="dxa" w:w="18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P/E in line · EV/EBITDA in line</w:t>
            </w:r>
          </w:p>
        </w:tc>
      </w:tr>
    </w:tbl>
    <w:p>
      <w:pPr>
        <w:spacing w:after="160"/>
      </w:pPr>
    </w:p>
    <w:p>
      <w:pPr>
        <w:pStyle w:val="Heading2"/>
        <w:spacing w:after="140" w:before="280"/>
      </w:pPr>
      <w:r>
        <w:t xml:space="preserve">Key valuation takeaways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Cybersecurity Software (PANW, FTNT, CRWD) trades at the richest peer-group median in the entire book — 174x P/E and 181x EV/EBITDA median — reflecting best-in-class growth and near-100% gross margins, but leaving little room for execution slips; all three are core, High-conviction positions, so this is the highest-multiple corner of the portfolio's largest bucket.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Enterprise Software &amp; Cloud (NOW, CRM, ORCL, DDOG, PLTR) carries a 64x median P/E — rich by traditional software standards even before AI-driven multiple expansion is considered.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Semiconductors &amp; Chips is the most bifurcated group: SNDK trades near the sector median on P/E but at a premium EV/EBITDA given NAND-cycle timing, while INTC screens statistically 'cheap' on some multiples specifically because trailing earnings are still recovering — a case where a low multiple reflects real risk, not a bargain.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Power &amp; Utilities (VST, TLN) is the cheapest group on a peer-relative basis among AI-capex-adjacent names, consistent with the market still pricing these as regulated/quasi-regulated utilities rather than AI-infrastructure plays outright — arguably the more re-rating-sensitive part of the AI theme if power demand keeps compounding.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Emerging/Disruptive Growth (SYM, RKLB, TEM, IONQ) shows the most extreme and least meaningful multiples in the book — several have negative or near-zero EBITDA, so EV/EBITDA is not a reliable read for this group; EV/Revenue and growth-adjusted context (see the underlying comps workbook) are the better lens.</w:t>
      </w:r>
    </w:p>
    <w:p>
      <w:pPr>
        <w:pStyle w:val="Heading1"/>
        <w:spacing w:after="140" w:before="280"/>
      </w:pPr>
      <w:r>
        <w:t xml:space="preserve">5. Concentration &amp; Correlation Risk</w:t>
      </w:r>
    </w:p>
    <w:p>
      <w:pPr>
        <w:pStyle w:val="Heading2"/>
        <w:spacing w:after="140" w:before="280"/>
      </w:pPr>
      <w:r>
        <w:t xml:space="preserve">Sector weights (site's own classification, not GICS)</w:t>
      </w:r>
    </w:p>
    <w:tbl>
      <w:tblPr>
        <w:tblW w:type="dxa" w:w="6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00"/>
        <w:gridCol w:w="2000"/>
      </w:tblGrid>
      <w:tr>
        <w:tc>
          <w:tcPr>
            <w:tcW w:type="dxa" w:w="47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Sector (site grouping)</w:t>
            </w:r>
          </w:p>
        </w:tc>
        <w:tc>
          <w:tcPr>
            <w:tcW w:type="dxa" w:w="20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Weight</w:t>
            </w:r>
          </w:p>
        </w:tc>
      </w:tr>
      <w:tr>
        <w:tc>
          <w:tcPr>
            <w:tcW w:type="dxa" w:w="47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Semiconductors</w:t>
            </w:r>
          </w:p>
        </w:tc>
        <w:tc>
          <w:tcPr>
            <w:tcW w:type="dxa" w:w="20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28.50%</w:t>
            </w:r>
          </w:p>
        </w:tc>
      </w:tr>
      <w:tr>
        <w:tc>
          <w:tcPr>
            <w:tcW w:type="dxa" w:w="47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Index Funds</w:t>
            </w:r>
          </w:p>
        </w:tc>
        <w:tc>
          <w:tcPr>
            <w:tcW w:type="dxa" w:w="20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18.41%</w:t>
            </w:r>
          </w:p>
        </w:tc>
      </w:tr>
      <w:tr>
        <w:tc>
          <w:tcPr>
            <w:tcW w:type="dxa" w:w="47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Communication Services</w:t>
            </w:r>
          </w:p>
        </w:tc>
        <w:tc>
          <w:tcPr>
            <w:tcW w:type="dxa" w:w="20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12.54%</w:t>
            </w:r>
          </w:p>
        </w:tc>
      </w:tr>
      <w:tr>
        <w:tc>
          <w:tcPr>
            <w:tcW w:type="dxa" w:w="47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Software &amp; Cybersecurity</w:t>
            </w:r>
          </w:p>
        </w:tc>
        <w:tc>
          <w:tcPr>
            <w:tcW w:type="dxa" w:w="20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11.54%</w:t>
            </w:r>
          </w:p>
        </w:tc>
      </w:tr>
      <w:tr>
        <w:tc>
          <w:tcPr>
            <w:tcW w:type="dxa" w:w="47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Industrials</w:t>
            </w:r>
          </w:p>
        </w:tc>
        <w:tc>
          <w:tcPr>
            <w:tcW w:type="dxa" w:w="20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8.05%</w:t>
            </w:r>
          </w:p>
        </w:tc>
      </w:tr>
      <w:tr>
        <w:tc>
          <w:tcPr>
            <w:tcW w:type="dxa" w:w="47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Consumer</w:t>
            </w:r>
          </w:p>
        </w:tc>
        <w:tc>
          <w:tcPr>
            <w:tcW w:type="dxa" w:w="20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6.55%</w:t>
            </w:r>
          </w:p>
        </w:tc>
      </w:tr>
      <w:tr>
        <w:tc>
          <w:tcPr>
            <w:tcW w:type="dxa" w:w="47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Power &amp; Utilities</w:t>
            </w:r>
          </w:p>
        </w:tc>
        <w:tc>
          <w:tcPr>
            <w:tcW w:type="dxa" w:w="20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4.42%</w:t>
            </w:r>
          </w:p>
        </w:tc>
      </w:tr>
      <w:tr>
        <w:tc>
          <w:tcPr>
            <w:tcW w:type="dxa" w:w="47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AI / Cloud Infrastructure</w:t>
            </w:r>
          </w:p>
        </w:tc>
        <w:tc>
          <w:tcPr>
            <w:tcW w:type="dxa" w:w="20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3.74%</w:t>
            </w:r>
          </w:p>
        </w:tc>
      </w:tr>
      <w:tr>
        <w:tc>
          <w:tcPr>
            <w:tcW w:type="dxa" w:w="47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Leveraged Derivative</w:t>
            </w:r>
          </w:p>
        </w:tc>
        <w:tc>
          <w:tcPr>
            <w:tcW w:type="dxa" w:w="20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2.81%</w:t>
            </w:r>
          </w:p>
        </w:tc>
      </w:tr>
      <w:tr>
        <w:tc>
          <w:tcPr>
            <w:tcW w:type="dxa" w:w="47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Healthcare Technology</w:t>
            </w:r>
          </w:p>
        </w:tc>
        <w:tc>
          <w:tcPr>
            <w:tcW w:type="dxa" w:w="20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0.57%</w:t>
            </w:r>
          </w:p>
        </w:tc>
      </w:tr>
    </w:tbl>
    <w:p>
      <w:pPr>
        <w:pStyle w:val="Heading2"/>
        <w:spacing w:after="140" w:before="280"/>
      </w:pPr>
      <w:r>
        <w:t xml:space="preserve">What the correlation matrix actually shows</w:t>
      </w:r>
    </w:p>
    <w:p>
      <w:pPr>
        <w:spacing w:after="140"/>
      </w:pPr>
      <w:r>
        <w:t xml:space="preserve">The account's own July 2026 opinion piece tested its long-standing 'one AI macro bet' narrative against the real pairwise correlation matrix on the Holdings page, and the honest conclusion is more precise than the headline theme suggests: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Cybersecurity cluster (PANW, FTNT, CRWD) correlates at 0.71–0.88 with each other — a very tight group; despite sitting in the 'Software &amp; Cybersecurity' sector bucket, these three effectively trade as one factor.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AI-infrastructure cluster (NBIS, NBIL, CRWV) correlates at 0.79 or higher — NBIL (the leveraged Nebius ETF) is by construction almost perfectly correlated with NBIS itself, so this pairing is closer to one position wearing two tickers than genuine diversification.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Memory/CPU semiconductor sub-cluster (SNDK, MU, AMD, INTC) correlates from 0.25 up to 0.72 (SNDK-MU) — a real but looser cluster than cybersecurity or AI-infra.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AVGO and ARM — both diversified franchise semis rather than pure memory/CPU plays — correlate close to zero with the rest of the semiconductor sleeve (MU-AVGO is actually -0.07), meaning the 'Semiconductors' sector label is hiding two genuinely different trades.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Names loosely associated with 'the AI theme' in narrative — GOOGL, DDOG, NOW, and at times META — are, per the account's own numbers, closer to independent bets: GOOGL correlates at -0.16 with NBIS and -0.18 with CRWV despite being one of the largest AI capex spenders in the market.</w:t>
      </w:r>
    </w:p>
    <w:p>
      <w:pPr>
        <w:spacing w:after="140"/>
      </w:pPr>
      <w:r>
        <w:rPr>
          <w:b/>
          <w:bCs/>
        </w:rPr>
        <w:t>Practical read for sizing: the genuinely concentrated risk is narrower than the 60.46% 'thematic concentration' headline implies. It is concentrated specifically in NBIS/NBIL/CRWV (functionally one correlated cluster, ~5.37% of book but effectively larger given NBIL's 2x daily-reset leverage) and in the SNDK/MU/AMD/INTC memory-and-CPU core (25.23% combined) — not spread evenly across all 32 positions.</w:t>
      </w:r>
    </w:p>
    <w:p>
      <w:pPr>
        <w:pStyle w:val="Heading1"/>
        <w:spacing w:after="140" w:before="280"/>
      </w:pPr>
      <w:r>
        <w:t xml:space="preserve">6. Investment Policy Statement &amp; Compliance Ledger</w:t>
      </w:r>
    </w:p>
    <w:p>
      <w:pPr>
        <w:spacing w:after="140"/>
      </w:pPr>
      <w:r>
        <w:t xml:space="preserve">Objective &amp; horizon: long-term capital growth over a multi-year horizon; benchmark is SPY, measured time-weighted with deposits stripped out. Sell discipline: exit when the thesis breaks, trim back to policy when a position drifts beyond its bucket or cap, sell to fund a clearly stronger idea, and never average down on a broken thesis.</w:t>
      </w:r>
    </w:p>
    <w:p>
      <w:pPr>
        <w:pStyle w:val="Heading2"/>
        <w:spacing w:after="140" w:before="280"/>
      </w:pPr>
      <w:r>
        <w:t xml:space="preserve">Bucket structure &amp; limits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4200"/>
        <w:gridCol w:w="2600"/>
      </w:tblGrid>
      <w:tr>
        <w:tc>
          <w:tcPr>
            <w:tcW w:type="dxa" w:w="26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Bucket</w:t>
            </w:r>
          </w:p>
        </w:tc>
        <w:tc>
          <w:tcPr>
            <w:tcW w:type="dxa" w:w="42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What it holds</w:t>
            </w:r>
          </w:p>
        </w:tc>
        <w:tc>
          <w:tcPr>
            <w:tcW w:type="dxa" w:w="26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Limit</w:t>
            </w:r>
          </w:p>
        </w:tc>
      </w:tr>
      <w:tr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Core / quality compounders</w:t>
            </w:r>
          </w:p>
        </w:tc>
        <w:tc>
          <w:tcPr>
            <w:tcW w:type="dxa" w:w="20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Profitable or clear path-to-profit large &amp; mid caps</w:t>
            </w:r>
          </w:p>
        </w:tc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Majority of book</w:t>
            </w:r>
          </w:p>
        </w:tc>
      </w:tr>
      <w:tr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Emerging growth</w:t>
            </w:r>
          </w:p>
        </w:tc>
        <w:tc>
          <w:tcPr>
            <w:tcW w:type="dxa" w:w="20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Smaller operating companies with real revenue</w:t>
            </w:r>
          </w:p>
        </w:tc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Flexible</w:t>
            </w:r>
          </w:p>
        </w:tc>
      </w:tr>
      <w:tr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Speculative sleeve</w:t>
            </w:r>
          </w:p>
        </w:tc>
        <w:tc>
          <w:tcPr>
            <w:tcW w:type="dxa" w:w="20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Micro-caps, story stocks, pre-profit names</w:t>
            </w:r>
          </w:p>
        </w:tc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≤ 25% of invested capital</w:t>
            </w:r>
          </w:p>
        </w:tc>
      </w:tr>
      <w:tr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Leveraged / derivative</w:t>
            </w:r>
          </w:p>
        </w:tc>
        <w:tc>
          <w:tcPr>
            <w:tcW w:type="dxa" w:w="20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Leveraged &amp; thematic ETFs (daily-reset)</w:t>
            </w:r>
          </w:p>
        </w:tc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≤ 5% of invested capital</w:t>
            </w:r>
          </w:p>
        </w:tc>
      </w:tr>
      <w:tr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Index hedge</w:t>
            </w:r>
          </w:p>
        </w:tc>
        <w:tc>
          <w:tcPr>
            <w:tcW w:type="dxa" w:w="20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Broad-market ETFs (e.g. VOO, SPY)</w:t>
            </w:r>
          </w:p>
        </w:tc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Ballast, always held</w:t>
            </w:r>
          </w:p>
        </w:tc>
      </w:tr>
    </w:tbl>
    <w:p>
      <w:pPr>
        <w:pStyle w:val="Heading2"/>
        <w:spacing w:after="140" w:before="280"/>
      </w:pPr>
      <w:r>
        <w:t xml:space="preserve">Trading compliance rules (effective July 11, 2026)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The Blackout Rule — no trades within 48 hours before or after a company's scheduled earnings release, so every trade is justified by the standing thesis rather than an attempt to time a known catalyst.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The Holding Period — Core-bucket positions carry a minimum 30-day holding period from purchase, absent a thesis-breaking event, as a structural check against reacting to short-term price noise.</w:t>
      </w:r>
    </w:p>
    <w:p>
      <w:pPr>
        <w:pStyle w:val="Heading2"/>
        <w:spacing w:after="140" w:before="280"/>
      </w:pPr>
      <w:r>
        <w:t xml:space="preserve">Live compliance ledger (8 rules tracked)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700"/>
        <w:gridCol w:w="2700"/>
        <w:gridCol w:w="1400"/>
      </w:tblGrid>
      <w:tr>
        <w:tc>
          <w:tcPr>
            <w:tcW w:type="dxa" w:w="2600"/>
            <w:shd w:fill="1F4E79" w:val="clea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Rule</w:t>
            </w:r>
          </w:p>
        </w:tc>
        <w:tc>
          <w:tcPr>
            <w:tcW w:type="dxa" w:w="2700"/>
            <w:shd w:fill="1F4E79" w:val="clea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Policy limit</w:t>
            </w:r>
          </w:p>
        </w:tc>
        <w:tc>
          <w:tcPr>
            <w:tcW w:type="dxa" w:w="2700"/>
            <w:shd w:fill="1F4E79" w:val="clea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Current</w:t>
            </w:r>
          </w:p>
        </w:tc>
        <w:tc>
          <w:tcPr>
            <w:tcW w:type="dxa" w:w="1400"/>
            <w:shd w:fill="1F4E79" w:val="clea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Status</w:t>
            </w:r>
          </w:p>
        </w:tc>
      </w:tr>
      <w:tr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Single-position cap</w:t>
            </w:r>
          </w:p>
        </w:tc>
        <w:tc>
          <w:tcPr>
            <w:tcW w:type="dxa" w:w="20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≤ 10% at cost</w:t>
            </w:r>
          </w:p>
        </w:tc>
        <w:tc>
          <w:tcPr>
            <w:tcW w:type="dxa" w:w="20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SNDK at 7.94% of book</w:t>
            </w:r>
          </w:p>
        </w:tc>
        <w:tc>
          <w:tcPr>
            <w:tcW w:type="dxa" w:w="2000"/>
          </w:tcPr>
          <w:p>
            <w:pPr>
              <w:jc w:val="center"/>
            </w:pPr>
            <w:r>
              <w:rPr>
                <w:b w:val="0"/>
                <w:bCs/>
                <w:sz w:val="18"/>
                <w:szCs w:val="18"/>
              </w:rPr>
              <w:t>Compliant</w:t>
            </w:r>
          </w:p>
        </w:tc>
      </w:tr>
      <w:tr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Speculative sleeve cap</w:t>
            </w:r>
          </w:p>
        </w:tc>
        <w:tc>
          <w:tcPr>
            <w:tcW w:type="dxa" w:w="20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≤ 25% of invested capital</w:t>
            </w:r>
          </w:p>
        </w:tc>
        <w:tc>
          <w:tcPr>
            <w:tcW w:type="dxa" w:w="20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6.5% of book</w:t>
            </w:r>
          </w:p>
        </w:tc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 xml:space="preserve">Compliant</w:t>
            </w:r>
          </w:p>
        </w:tc>
      </w:tr>
      <w:tr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Leveraged sleeve cap</w:t>
            </w:r>
          </w:p>
        </w:tc>
        <w:tc>
          <w:tcPr>
            <w:tcW w:type="dxa" w:w="20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≤ 5% of invested capital</w:t>
            </w:r>
          </w:p>
        </w:tc>
        <w:tc>
          <w:tcPr>
            <w:tcW w:type="dxa" w:w="20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2.8% of book (NBIL)</w:t>
            </w:r>
          </w:p>
        </w:tc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 xml:space="preserve">Compliant</w:t>
            </w:r>
          </w:p>
        </w:tc>
      </w:tr>
      <w:tr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Core bucket ≥ majority</w:t>
            </w:r>
          </w:p>
        </w:tc>
        <w:tc>
          <w:tcPr>
            <w:tcW w:type="dxa" w:w="20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&gt; 50% of book</w:t>
            </w:r>
          </w:p>
        </w:tc>
        <w:tc>
          <w:tcPr>
            <w:tcW w:type="dxa" w:w="20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63.7% of book</w:t>
            </w:r>
          </w:p>
        </w:tc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 xml:space="preserve">Compliant</w:t>
            </w:r>
          </w:p>
        </w:tc>
      </w:tr>
      <w:tr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Index hedge always held</w:t>
            </w:r>
          </w:p>
        </w:tc>
        <w:tc>
          <w:tcPr>
            <w:tcW w:type="dxa" w:w="20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Ballast position required</w:t>
            </w:r>
          </w:p>
        </w:tc>
        <w:tc>
          <w:tcPr>
            <w:tcW w:type="dxa" w:w="20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18.4% across SPY/VOO/QQQ/SCHD</w:t>
            </w:r>
          </w:p>
        </w:tc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color w:val="375623"/>
                <w:sz w:val="18"/>
                <w:szCs w:val="18"/>
              </w:rPr>
              <w:t xml:space="preserve">Compliant</w:t>
            </w:r>
          </w:p>
        </w:tc>
      </w:tr>
      <w:tr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Single-theme clustering</w:t>
            </w:r>
          </w:p>
        </w:tc>
        <w:tc>
          <w:tcPr>
            <w:tcW w:type="dxa" w:w="20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Flag when it appears (no hard cap)</w:t>
            </w:r>
          </w:p>
        </w:tc>
        <w:tc>
          <w:tcPr>
            <w:tcW w:type="dxa" w:w="20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60.46% in AI-infra/compute/power theme</w:t>
            </w:r>
          </w:p>
        </w:tc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Disclosed</w:t>
            </w:r>
          </w:p>
        </w:tc>
      </w:tr>
      <w:tr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The Blackout Rule</w:t>
            </w:r>
          </w:p>
        </w:tc>
        <w:tc>
          <w:tcPr>
            <w:tcW w:type="dxa" w:w="20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No trades within 48hrs of earnings</w:t>
            </w:r>
          </w:p>
        </w:tc>
        <w:tc>
          <w:tcPr>
            <w:tcW w:type="dxa" w:w="20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No trade-timestamp data published yet</w:t>
            </w:r>
          </w:p>
        </w:tc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Not yet verifiable</w:t>
            </w:r>
          </w:p>
        </w:tc>
      </w:tr>
      <w:tr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The Holding Period</w:t>
            </w:r>
          </w:p>
        </w:tc>
        <w:tc>
          <w:tcPr>
            <w:tcW w:type="dxa" w:w="20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Core positions held ≥ 30 days</w:t>
            </w:r>
          </w:p>
        </w:tc>
        <w:tc>
          <w:tcPr>
            <w:tcW w:type="dxa" w:w="20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No trade-timestamp data published yet</w:t>
            </w:r>
          </w:p>
        </w:tc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Not yet verifiable</w:t>
            </w:r>
          </w:p>
        </w:tc>
      </w:tr>
    </w:tbl>
    <w:p>
      <w:pPr>
        <w:spacing w:after="140"/>
      </w:pPr>
      <w:r>
        <w:rPr>
          <w:i/>
          <w:iCs/>
        </w:rPr>
        <w:t>SNDK's cap status, in plain terms: the position drifted back under its 10% cap to 7.94% not through a trim but because its return on cost fell from roughly 257% to 151.41% — the market did the rebalancing the account's own policy should have. The account's own post-mortem on a similar, earlier NBIL breach explicitly names this same process flaw: stating an intention to trim in a letter is not the same as scheduling and executing a specific trade, and a cap satisfied by a pullback rather than a trim doesn't fix that.</w:t>
      </w:r>
    </w:p>
    <w:p>
      <w:pPr>
        <w:pStyle w:val="Heading1"/>
        <w:spacing w:after="140" w:before="280"/>
      </w:pPr>
      <w:r>
        <w:t xml:space="preserve">7. Accountability: What the Account Got Wrong</w:t>
      </w:r>
    </w:p>
    <w:p>
      <w:pPr>
        <w:spacing w:after="140"/>
      </w:pPr>
      <w:r>
        <w:rPr>
          <w:b/>
          <w:bCs/>
        </w:rPr>
        <w:t xml:space="preserve">Every monthly letter includes a standing 'Portfolio Review &amp; Retrospective' post-mortem section — a self-imposed discipline most public portfolio trackers skip entirely.</w:t>
      </w:r>
    </w:p>
    <w:p>
      <w:pPr>
        <w:spacing w:after="140"/>
      </w:pPr>
      <w:r>
        <w:rPr>
          <w:b/>
          <w:bCs/>
        </w:rPr>
        <w:t xml:space="preserve">July 2026 post-mortem: NBIL sleeve breach.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Original thesis: the June letter flagged NBIL (2x leveraged Nebius ETF) at 5.27% of the book, over its 5% leveraged-sleeve cap, and stated an intention to trim it back.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Reality: the trim was never executed. NBIL is now 2.78% of the book — comfortably under cap — but only because the position grew slower than the rest of the portfolio that month. The market resolved the breach, not the account's own discipline.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Lesson stated by the account itself: writing that a trim is 'owed' in a letter is not the same as scheduling and executing one. The process fix going forward is that any cap breach now gets a stated action date, not just an acknowledgment — a fix directly relevant to the still-open SNDK breach today.</w:t>
      </w:r>
    </w:p>
    <w:p>
      <w:pPr>
        <w:pStyle w:val="Heading1"/>
        <w:spacing w:after="140" w:before="280"/>
      </w:pPr>
      <w:r>
        <w:t xml:space="preserve">8. Macro Backdrop &amp; Upcoming Catalysts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00"/>
        <w:gridCol w:w="4700"/>
      </w:tblGrid>
      <w:tr>
        <w:tc>
          <w:tcPr>
            <w:tcW w:type="dxa" w:w="47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Indicator</w:t>
            </w:r>
          </w:p>
        </w:tc>
        <w:tc>
          <w:tcPr>
            <w:tcW w:type="dxa" w:w="4700"/>
            <w:shd w:fill="D9E1F2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Value</w:t>
            </w:r>
          </w:p>
        </w:tc>
      </w:tr>
      <w:tr>
        <w:tc>
          <w:tcPr>
            <w:tcW w:type="dxa" w:w="47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Fed Funds Rate (FOMC target range)</w:t>
            </w:r>
          </w:p>
        </w:tc>
        <w:tc>
          <w:tcPr>
            <w:tcW w:type="dxa" w:w="47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3.50%–3.75% (set June 17, 2026)</w:t>
            </w:r>
          </w:p>
        </w:tc>
      </w:tr>
      <w:tr>
        <w:tc>
          <w:tcPr>
            <w:tcW w:type="dxa" w:w="47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10-Year Treasury Yield</w:t>
            </w:r>
          </w:p>
        </w:tc>
        <w:tc>
          <w:tcPr>
            <w:tcW w:type="dxa" w:w="47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4.54% (as of July 10, 2026)</w:t>
            </w:r>
          </w:p>
        </w:tc>
      </w:tr>
      <w:tr>
        <w:tc>
          <w:tcPr>
            <w:tcW w:type="dxa" w:w="47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Core CPI (YoY)</w:t>
            </w:r>
          </w:p>
        </w:tc>
        <w:tc>
          <w:tcPr>
            <w:tcW w:type="dxa" w:w="47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2.6% (BLS, June 2026 reading)</w:t>
            </w:r>
          </w:p>
        </w:tc>
      </w:tr>
      <w:tr>
        <w:tc>
          <w:tcPr>
            <w:tcW w:type="dxa" w:w="47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2-Year Treasury</w:t>
            </w:r>
          </w:p>
        </w:tc>
        <w:tc>
          <w:tcPr>
            <w:tcW w:type="dxa" w:w="47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4.21%</w:t>
            </w:r>
          </w:p>
        </w:tc>
      </w:tr>
      <w:tr>
        <w:tc>
          <w:tcPr>
            <w:tcW w:type="dxa" w:w="47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10Y–2Y Spread</w:t>
            </w:r>
          </w:p>
        </w:tc>
        <w:tc>
          <w:tcPr>
            <w:tcW w:type="dxa" w:w="47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+0.35 — normal (not inverted)</w:t>
            </w:r>
          </w:p>
        </w:tc>
      </w:tr>
      <w:tr>
        <w:tc>
          <w:tcPr>
            <w:tcW w:type="dxa" w:w="47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HY Credit Spread (ICE BofA OAS)</w:t>
            </w:r>
          </w:p>
        </w:tc>
        <w:tc>
          <w:tcPr>
            <w:tcW w:type="dxa" w:w="47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2.70% (July 8, 2026)</w:t>
            </w:r>
          </w:p>
        </w:tc>
      </w:tr>
    </w:tbl>
    <w:p>
      <w:pPr>
        <w:pStyle w:val="Heading2"/>
        <w:spacing w:after="140" w:before="280"/>
      </w:pPr>
      <w:r>
        <w:t xml:space="preserve">Dated catalysts with a direct line to the book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2800"/>
        <w:gridCol w:w="5000"/>
      </w:tblGrid>
      <w:tr>
        <w:tc>
          <w:tcPr>
            <w:tcW w:type="dxa" w:w="1600"/>
            <w:shd w:fill="1F4E79" w:val="clea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Date</w:t>
            </w:r>
          </w:p>
        </w:tc>
        <w:tc>
          <w:tcPr>
            <w:tcW w:type="dxa" w:w="2800"/>
            <w:shd w:fill="1F4E79" w:val="clea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Event</w:t>
            </w:r>
          </w:p>
        </w:tc>
        <w:tc>
          <w:tcPr>
            <w:tcW w:type="dxa" w:w="5000"/>
            <w:shd w:fill="1F4E79" w:val="clea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Why it matters to the book</w:t>
            </w:r>
          </w:p>
        </w:tc>
      </w:tr>
      <w:tr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Jul 22, 2026</w:t>
            </w:r>
          </w:p>
        </w:tc>
        <w:tc>
          <w:tcPr>
            <w:tcW w:type="dxa" w:w="20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GOOGL &amp; NOW Q2 2026 earnings (reported)</w:t>
            </w:r>
          </w:p>
        </w:tc>
        <w:tc>
          <w:tcPr>
            <w:tcW w:type="dxa" w:w="20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Both already reported by this update; report cards on the Earnings page are pending a Q2 rewrite, disclosed rather than left silently stale.</w:t>
            </w:r>
          </w:p>
        </w:tc>
      </w:tr>
      <w:tr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Jul 23, 2026</w:t>
            </w:r>
          </w:p>
        </w:tc>
        <w:tc>
          <w:tcPr>
            <w:tcW w:type="dxa" w:w="20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INTC Q2 2026 earnings (reported)</w:t>
            </w:r>
          </w:p>
        </w:tc>
        <w:tc>
          <w:tcPr>
            <w:tcW w:type="dxa" w:w="20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Reported the day before this update. First real test of whether foundry deal-flow sentiment (Apple, Google) is converting into recognized external revenue.</w:t>
            </w:r>
          </w:p>
        </w:tc>
      </w:tr>
      <w:tr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Jul 28–29, 2026</w:t>
            </w:r>
          </w:p>
        </w:tc>
        <w:tc>
          <w:tcPr>
            <w:tcW w:type="dxa" w:w="20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FOMC meeting &amp; rate decision</w:t>
            </w:r>
          </w:p>
        </w:tc>
        <w:tc>
          <w:tcPr>
            <w:tcW w:type="dxa" w:w="20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Rate held since June; any signal on the September path directly affects the leveraged sleeve (NBIL) and the power/utilities names (TLN, VST).</w:t>
            </w:r>
          </w:p>
        </w:tc>
      </w:tr>
      <w:tr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>Aug 5, 2026</w:t>
            </w:r>
          </w:p>
        </w:tc>
        <w:tc>
          <w:tcPr>
            <w:tcW w:type="dxa" w:w="20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SNDK fiscal Q4 &amp; FY2026 earnings</w:t>
            </w:r>
          </w:p>
        </w:tc>
        <w:tc>
          <w:tcPr>
            <w:tcW w:type="dxa" w:w="20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>Largest position, currently flagged Under Review rather than in breach — the real test of whether the NAND-pricing thesis holds, and whether the position's weight (7.94%) drifts back toward the 10% cap on a good print. Subject to the Blackout Rule.</w:t>
            </w:r>
          </w:p>
        </w:tc>
      </w:tr>
    </w:tbl>
    <w:p>
      <w:pPr>
        <w:pStyle w:val="Heading1"/>
        <w:spacing w:after="140" w:before="280"/>
      </w:pPr>
      <w:r>
        <w:t xml:space="preserve">9. Synthesized Risks &amp; Recommendations</w:t>
      </w:r>
    </w:p>
    <w:p>
      <w:pPr>
        <w:spacing w:after="140"/>
      </w:pPr>
      <w:r>
        <w:rPr>
          <w:i/>
          <w:iCs/>
        </w:rPr>
        <w:t xml:space="preserve">The following combines the account's own disclosed risks with the independent valuation cross-check in Section 4. These are observations for the account's own consideration, not investment advice.</w:t>
      </w:r>
    </w:p>
    <w:p>
      <w:pPr>
        <w:pStyle w:val="ListParagraph"/>
        <w:numPr>
          <w:ilvl w:val="0"/>
          <w:numId w:val="2"/>
        </w:numPr>
        <w:spacing w:after="80"/>
      </w:pPr>
      <w:r>
        <w:t>Execute the SNDK trim with a stated date regardless of where the price sits. The position's drift back under cap was a market outcome, not a policy fix, and its own post-mortem on the NBIL episode names exactly this failure mode. A specific trim date tied to sizing discipline — not the position's price action — is the account's own stated fix.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Re-underwrite the Cybersecurity and Enterprise Software multiples specifically. These two groups carry the richest peer-median valuations in the entire comps set (174x and 64x P/E respectively) — not disqualifying on their own, given best-in-class growth, but worth a specific re-check of whether the growth/margin trajectory still justifies the premium the market is already pricing in, particularly for PANW, FTNT, and CRWD given how tightly they move together (0.71–0.88 correlation).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Treat NBIS/NBIL/CRWV sizing as one position, not three. Given the 0.79+ correlation and NBIL's embedded 2x leverage on the same underlying theme as NBIS, the combined ~5.24% headline weight understates the effective factor exposure; any further sizing decision on this cluster should be underwritten as a single, leveraged bet.</w:t>
      </w:r>
    </w:p>
    <w:p>
      <w:pPr>
        <w:pStyle w:val="ListParagraph"/>
        <w:numPr>
          <w:ilvl w:val="0"/>
          <w:numId w:val="2"/>
        </w:numPr>
        <w:spacing w:after="80"/>
      </w:pPr>
      <w:r>
        <w:t>Separate the true semiconductor sub-clusters when assessing concentration. SNDK/MU/AMD/INTC (memory &amp; CPU, 25.23% of book) is a meaningfully different risk than AVGO/ARM (diversified franchise semis, near-zero correlation to the rest of the sleeve) — lumping all six into one 28.50% 'semiconductor exposure' figure overstates how correlated the sleeve actually is.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Watch the Power &amp; Utilities re-rating case. VST and TLN screen cheapest, on a peer-relative basis, among the AI-capex-adjacent names in the book — if AI-driven power demand keeps compounding as the thesis assumes, this is arguably the most convex, least crowded part of the existing AI-infrastructure exposure rather than the semiconductor or pure-play infra names already bid up.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Publish trade-execution timestamps to make the Blackout Rule and Holding Period actually auditable. Both rules are currently 'not yet verifiable' on the Compliance Ledger purely for lack of published data — a fixable gap given the account already publishes everything else.</w:t>
      </w:r>
    </w:p>
    <w:p>
      <w:pPr>
        <w:pStyle w:val="Heading1"/>
        <w:spacing w:after="140" w:before="280"/>
      </w:pPr>
      <w:r>
        <w:t xml:space="preserve">10. Methodology &amp; Sources</w:t>
      </w:r>
    </w:p>
    <w:p>
      <w:pPr>
        <w:spacing w:after="140"/>
      </w:pPr>
      <w:r>
        <w:t xml:space="preserve">This report synthesizes two independently-sourced datasets:</w:t>
      </w:r>
    </w:p>
    <w:p>
      <w:pPr>
        <w:pStyle w:val="ListParagraph"/>
        <w:numPr>
          <w:ilvl w:val="0"/>
          <w:numId w:val="2"/>
        </w:numPr>
        <w:spacing w:after="80"/>
      </w:pPr>
      <w:r>
        <w:t>Portfolio, sector, bucket, correlation, IPS, and compliance data: pulled directly from AEA Capital Research (aea-capital-research.haiden1690.workers.dev) — specifically the Home, Holdings, Coverage Book, Watchlist, July 2026 Positioning Letter, Investment Policy Statement, Compliance Ledger, and July 2026 opinion piece on AI-trade crowding. That site attributes its own holdings/returns data to Blossom (a brokerage-linked portfolio tracker) and its price/market data to Massive Market Data.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Sector-relative valuation (Section 4): computed from a separately-built comps dataset covering all 41 distinct operating companies referenced across the site's Holdings and Watchlist pages, sourced from stockanalysis.com /statistics/ pages (S&amp;P Global Market Intelligence), TTM basis, pulled July 13–14, 2026. Sector peer groups (9 groups) were constructed for internal comparability rather than using a blanket market multiple — full detail, formulas, and per-cell source citations are in the companion workbook, Portfolio_Comps_Analysis.xlsx.</w:t>
      </w:r>
    </w:p>
    <w:p>
      <w:pPr>
        <w:spacing w:after="140"/>
      </w:pPr>
      <w:r>
        <w:t xml:space="preserve">Limitations: this is a point-in-time snapshot combining two third-party aggregators (Blossom/Massive Market Data via the source site, and stockanalysis.com for this report's valuation layer), not a Bloomberg/FactSet/SEC-filing cross-check. Some pre-profit names in the Emerging/Disruptive Growth group show negative or extreme EBITDA-based multiples, where EV/Revenue and growth-adjusted context are the more reliable lens. ETFs (SPY, VOO, QQQ, SCHD, NBIL) and the recently-public private name (SPCX) have no comparable operating fundamentals and are excluded from Section 4's valuation cross-check, consistent with the source site's own comps workbook scope.</w:t>
      </w:r>
    </w:p>
    <w:p>
      <w:pPr>
        <w:spacing w:after="140"/>
      </w:pPr>
      <w:r>
        <w:rPr>
          <w:i/>
          <w:iCs/>
        </w:rPr>
        <w:t xml:space="preserve">This report is for educational and informational purposes only and does not constitute financial advice or a recommendation to buy or sell any security. It synthesizes publicly-published, self-reported portfolio data from a personal research journal (AEA Capital Research) alongside independently-sourced market data; neither the original site nor this report should be treated as professional investment guidance.</w:t>
      </w:r>
    </w:p>
    <w:sectPr>
      <w:pgSz w:w="12240" w:h="15840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2026-07-14T02:40:30.054Z</dcterms:created>
  <dcterms:modified xsi:type="dcterms:W3CDTF">2026-07-14T02:40:30.055Z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