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00"/>
      </w:pPr>
      <w:r>
        <w:t xml:space="preserve">AEA Capital Research</w:t>
      </w:r>
    </w:p>
    <w:p>
      <w:pPr>
        <w:spacing w:after="200"/>
      </w:pPr>
      <w:r>
        <w:rPr>
          <w:b/>
          <w:bCs/>
          <w:color w:val="1F2937"/>
          <w:sz w:val="44"/>
          <w:szCs w:val="44"/>
        </w:rPr>
        <w:t xml:space="preserve">Coverage Book</w:t>
      </w:r>
    </w:p>
    <w:p>
      <w:pPr>
        <w:spacing w:after="400"/>
      </w:pPr>
      <w:r>
        <w:rPr>
          <w:color w:val="6B7280"/>
          <w:sz w:val="24"/>
          <w:szCs w:val="24"/>
        </w:rPr>
        <w:t xml:space="preserve">Institutional-format one-pagers for all 47 covered securities — 32 held positions and 15 watchlist names — organized by IPS bucket then sector.</w:t>
      </w:r>
    </w:p>
    <w:p>
      <w:pPr>
        <w:spacing w:after="200"/>
      </w:pPr>
      <w:r>
        <w:rPr>
          <w:i/>
          <w:iCs/>
          <w:color w:val="6B7280"/>
          <w:sz w:val="20"/>
          <w:szCs w:val="20"/>
        </w:rPr>
        <w:t xml:space="preserve">Compiled July 24, 2026 from aea-capital-research.haiden1690.workers.dev (coverage-book.html, watchlist.html, watchlist/*.html). Conviction ratings, bucket assignments, and allocation percentages match the live Holdings table as of that date. This document consolidates the site's 32 individual position pages and 15 watchlist deep-dive pages into a single navigable file.</w:t>
      </w:r>
    </w:p>
    <w:p>
      <w:r>
        <w:br w:type="page"/>
      </w:r>
    </w:p>
    <w:p>
      <w:pPr>
        <w:pStyle w:val="Heading1"/>
      </w:pPr>
      <w:r>
        <w:t xml:space="preserve">Table of Contents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spacing w:after="200" w:before="200"/>
      </w:pPr>
      <w:r>
        <w:t xml:space="preserve">Part I — Portfolio Holdings (32 Positions)</w:t>
      </w:r>
    </w:p>
    <w:p>
      <w:pPr>
        <w:pStyle w:val="Heading1"/>
        <w:spacing w:after="100" w:before="300"/>
      </w:pPr>
      <w:r>
        <w:t xml:space="preserve">Core</w:t>
      </w:r>
    </w:p>
    <w:p>
      <w:pPr>
        <w:pStyle w:val="Heading2"/>
        <w:spacing w:after="80" w:before="150"/>
      </w:pPr>
      <w:r>
        <w:t xml:space="preserve">Semiconductors</w:t>
      </w:r>
    </w:p>
    <w:p>
      <w:pPr>
        <w:pStyle w:val="Heading2"/>
        <w:spacing w:after="60" w:before="300"/>
      </w:pPr>
      <w:r>
        <w:rPr>
          <w:b/>
          <w:bCs/>
        </w:rPr>
        <w:t xml:space="preserve">SNDK</w:t>
      </w:r>
      <w:r>
        <w:t xml:space="preserve">  —  Sandisk Corp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Semiconductors</w:t>
      </w:r>
      <w:r>
        <w:rPr>
          <w:color w:val="6B7280"/>
          <w:sz w:val="20"/>
          <w:szCs w:val="20"/>
        </w:rPr>
        <w:t xml:space="preserve">  |  Weight: 7.94%</w:t>
      </w:r>
      <w:r>
        <w:rPr>
          <w:color w:val="6B7280"/>
          <w:sz w:val="20"/>
          <w:szCs w:val="20"/>
        </w:rPr>
        <w:t xml:space="preserve">  |  Avg Cost: $483.21</w:t>
      </w:r>
      <w:r>
        <w:rPr>
          <w:color w:val="6B7280"/>
          <w:sz w:val="20"/>
          <w:szCs w:val="20"/>
        </w:rPr>
        <w:t xml:space="preserve">  |  Return: +151.41%</w:t>
      </w:r>
      <w:r>
        <w:rPr>
          <w:color w:val="6B7280"/>
          <w:sz w:val="20"/>
          <w:szCs w:val="20"/>
        </w:rPr>
        <w:t xml:space="preserve">  |  Conviction: Medium</w:t>
      </w:r>
      <w:r>
        <w:rPr>
          <w:color w:val="6B7280"/>
          <w:sz w:val="20"/>
          <w:szCs w:val="20"/>
        </w:rPr>
        <w:t xml:space="preserve">  |  Status: Under Review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Spun off from Western Digital in Feb 2025, Sandisk is a pure-play NAND flash memory and storage products maker (SSDs, memory cards, retail flash). It runs a joint-venture fab arrangement with Kioxia in Japan rather than owning all its own capacity.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Largest single position in the book. Owns direct exposure to the NAND supply/demand imbalance created by AI-driven data-center storage demand colliding with underinvested industry capacity after years of memory-sector losses.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NAND pricing power extends through 2026-27 as hyperscaler SSD demand for AI training/inference data outstrips supply; Kioxia JV lets Sandisk expand output without full capex burden; enterprise SSD mix shift lifts margins structurally.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Pricing normalizes off cycle peak but stays well above trough levels; Sandisk captures a fair share of AI-driven enterprise SSD growth while consumer/retail flash stays soft; earnings remain highly cyclical and volatile.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Memory is the most brutally cyclical sub-sector in semis; a supply response (Samsung, SK Hynix, Kioxia all expanding) or a slowdown in AI capex could crash pricing exactly as it did in 2022-23; Sandisk carries higher balance-sheet leverage as a recent spinoff.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Extreme cyclicality; capacity-expansion decisions by 3 competitors that don't answer to this thesis; customer concentration in a handful of hyperscalers; JV structure with Kioxia limits full operating control.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Quarterly ASP (average selling price) commentary; hyperscaler capex guides; Kioxia capacity announcements; any TrendForce demand-normalization data points.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Trades at a low-teens-to-20s forward P/E on cycle-peak estimates, which the market historically discounts because NAND earnings are not run-rate — the multiple looks cheap only if the current pricing holds, which is the entire debate.</w:t>
      </w:r>
    </w:p>
    <w:p>
      <w:pPr>
        <w:pStyle w:val="Heading2"/>
        <w:spacing w:after="60" w:before="300"/>
      </w:pPr>
      <w:r>
        <w:rPr>
          <w:b/>
          <w:bCs/>
        </w:rPr>
        <w:t xml:space="preserve">AMD</w:t>
      </w:r>
      <w:r>
        <w:t xml:space="preserve">  —  Advanced Micro Devices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Semiconductors</w:t>
      </w:r>
      <w:r>
        <w:rPr>
          <w:color w:val="6B7280"/>
          <w:sz w:val="20"/>
          <w:szCs w:val="20"/>
        </w:rPr>
        <w:t xml:space="preserve">  |  Weight: 8.32%</w:t>
      </w:r>
      <w:r>
        <w:rPr>
          <w:color w:val="6B7280"/>
          <w:sz w:val="20"/>
          <w:szCs w:val="20"/>
        </w:rPr>
        <w:t xml:space="preserve">  |  Avg Cost: $199.34</w:t>
      </w:r>
      <w:r>
        <w:rPr>
          <w:color w:val="6B7280"/>
          <w:sz w:val="20"/>
          <w:szCs w:val="20"/>
        </w:rPr>
        <w:t xml:space="preserve">  |  Return: +177.08%</w:t>
      </w:r>
      <w:r>
        <w:rPr>
          <w:color w:val="6B7280"/>
          <w:sz w:val="20"/>
          <w:szCs w:val="20"/>
        </w:rPr>
        <w:t xml:space="preserve">  |  Conviction: Medium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Designs x86 CPUs (server EPYC, client Ryzen) and GPUs/AI accelerators (Instinct MI300/MI350), competing directly with Nvidia in AI silicon and with Intel in CPUs. Fabless — manufactures via TSMC.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Second-source AI accelerator supplier as hyperscalers diversify away from single-vendor (Nvidia) dependence; a large reported cloud win (Microsoft Azure) is cited as a signal AMD is closing the competitive gap.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MI400-generation accelerators close the software/performance gap with Nvidia's roadmap enough that AMD captures durable double-digit share of the AI accelerator market; server CPU share gains against Intel continue.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AMD remains the credible #2 in AI accelerators with mid-single-digit-to-low-teens share, growing off a small base; server CPU share gains continue steadily; stock re-rates only modestly.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Nvidia's CUDA software moat and next-gen Rubin platform keep AMD structurally behind on a per-GPU-economics basis; any AI capex digestion pause hits AMD's smaller, less-diversified franchise harder.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Total dependence on TSMC for leading-edge nodes; Nvidia's dominant CUDA ecosystem lock-in; execution risk on MI-series ramp; cyclicality in PC/gaming segments.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MI400/MI450 ramp updates, hyperscaler capacity commitments (Microsoft, Oracle, Meta), server CPU share data versus Intel, any second major cloud AI-accelerator design win.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Forward P/E in the 30s-40s prices in continued AI-accelerator share gains; not statistically cheap on current numbers.</w:t>
      </w:r>
    </w:p>
    <w:p>
      <w:pPr>
        <w:pStyle w:val="Heading2"/>
        <w:spacing w:after="60" w:before="300"/>
      </w:pPr>
      <w:r>
        <w:rPr>
          <w:b/>
          <w:bCs/>
        </w:rPr>
        <w:t xml:space="preserve">MU</w:t>
      </w:r>
      <w:r>
        <w:t xml:space="preserve">  —  Micron Technology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Semiconductors</w:t>
      </w:r>
      <w:r>
        <w:rPr>
          <w:color w:val="6B7280"/>
          <w:sz w:val="20"/>
          <w:szCs w:val="20"/>
        </w:rPr>
        <w:t xml:space="preserve">  |  Weight: 5.78%</w:t>
      </w:r>
      <w:r>
        <w:rPr>
          <w:color w:val="6B7280"/>
          <w:sz w:val="20"/>
          <w:szCs w:val="20"/>
        </w:rPr>
        <w:t xml:space="preserve">  |  Avg Cost: $325.83</w:t>
      </w:r>
      <w:r>
        <w:rPr>
          <w:color w:val="6B7280"/>
          <w:sz w:val="20"/>
          <w:szCs w:val="20"/>
        </w:rPr>
        <w:t xml:space="preserve">  |  Return: +194.47%</w:t>
      </w:r>
      <w:r>
        <w:rPr>
          <w:color w:val="6B7280"/>
          <w:sz w:val="20"/>
          <w:szCs w:val="20"/>
        </w:rPr>
        <w:t xml:space="preserve">  |  Conviction: Medium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Micron is a major DRAM and NAND memory manufacturer, with growing exposure to High Bandwidth Memory (HBM) used in AI accelerators alongside Nvidia and AMD GPUs.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Direct HBM/DRAM beneficiary of the AI buildout, with better balance-sheet quality and manufacturing scale than smaller memory peers; the second leg of the book's memory-cycle bet alongside SNDK.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HBM demand from AI accelerators keeps outstripping supply, driving structurally higher blended memory pricing and margins; Micron's HBM3E/HBM4 roadmap keeps pace with Nvidia/AMD generations.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Memory pricing stays elevated versus trough but moderates from cycle peak; Micron captures a fair share of HBM growth while conventional DRAM/NAND normalizes.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Memory is memory — a capacity response from Samsung/SK Hynix or an AI-capex digestion pause collapses pricing the way it always eventually does.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Extreme historical cyclicality; capital-intensive capacity expansion; customer concentration in a few AI-accelerator makers; Taiwan/geopolitical exposure through the supply chain.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Quarterly DRAM/NAND ASP trends, HBM revenue mix disclosure, hyperscaler AI capex guides, TrendForce demand-normalization calls.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Similar cycle-peak-earnings dynamic to SNDK — looks cheap on trailing numbers precisely because the market doubts current pricing is sustainable.</w:t>
      </w:r>
    </w:p>
    <w:p>
      <w:pPr>
        <w:pStyle w:val="Heading2"/>
        <w:spacing w:after="60" w:before="300"/>
      </w:pPr>
      <w:r>
        <w:rPr>
          <w:b/>
          <w:bCs/>
        </w:rPr>
        <w:t xml:space="preserve">INTC</w:t>
      </w:r>
      <w:r>
        <w:t xml:space="preserve">  —  Intel Corporation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Semiconductors</w:t>
      </w:r>
      <w:r>
        <w:rPr>
          <w:color w:val="6B7280"/>
          <w:sz w:val="20"/>
          <w:szCs w:val="20"/>
        </w:rPr>
        <w:t xml:space="preserve">  |  Weight: 4.33%</w:t>
      </w:r>
      <w:r>
        <w:rPr>
          <w:color w:val="6B7280"/>
          <w:sz w:val="20"/>
          <w:szCs w:val="20"/>
        </w:rPr>
        <w:t xml:space="preserve">  |  Avg Cost: $37.43</w:t>
      </w:r>
      <w:r>
        <w:rPr>
          <w:color w:val="6B7280"/>
          <w:sz w:val="20"/>
          <w:szCs w:val="20"/>
        </w:rPr>
        <w:t xml:space="preserve">  |  Return: +174.17%</w:t>
      </w:r>
      <w:r>
        <w:rPr>
          <w:color w:val="6B7280"/>
          <w:sz w:val="20"/>
          <w:szCs w:val="20"/>
        </w:rPr>
        <w:t xml:space="preserve">  |  Conviction: Medium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Intel designs and manufactures (IDM model) x86 CPUs and is executing a foundry turnaround (Intel Foundry, 18A node) backed by a U.S. government equity stake and CHIPS Act support.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reshoring/foundry-turnaround bet: if 18A succeeds, Intel becomes the only U.S.-based leading-edge fab — a structurally different risk profile than fabless peers dependent on TSMC.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18A ramps successfully with real external foundry customers signed, U.S. government backing de-risks the balance sheet, and Intel re-establishes process leadership.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18A ships on a delayed but workable timeline with modest external customer wins; Intel stabilizes as a smaller, more focused company.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18A slips again or yields disappoint, external foundry customers don't materialize at scale, and Intel remains structurally behind TSMC while burning cash.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Execution risk on the most complex process node transition in company history; heavy capex burden; foundry customer-acquisition risk; geopolitical sensitivity given the reshoring thesis.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18A yield and ramp updates, named external foundry customer wins, government funding/equity developments, foundry segment losses narrowing.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Hard to value on traditional earnings multiples given ongoing foundry losses; market is pricing a call option on turnaround success plus a strategic/reshoring premium.</w:t>
      </w:r>
    </w:p>
    <w:p>
      <w:pPr>
        <w:pStyle w:val="Heading2"/>
        <w:spacing w:after="60" w:before="300"/>
      </w:pPr>
      <w:r>
        <w:rPr>
          <w:b/>
          <w:bCs/>
        </w:rPr>
        <w:t xml:space="preserve">ARM</w:t>
      </w:r>
      <w:r>
        <w:t xml:space="preserve">  —  Arm Holdings plc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Semiconductors</w:t>
      </w:r>
      <w:r>
        <w:rPr>
          <w:color w:val="6B7280"/>
          <w:sz w:val="20"/>
          <w:szCs w:val="20"/>
        </w:rPr>
        <w:t xml:space="preserve">  |  Weight: 1.71%</w:t>
      </w:r>
      <w:r>
        <w:rPr>
          <w:color w:val="6B7280"/>
          <w:sz w:val="20"/>
          <w:szCs w:val="20"/>
        </w:rPr>
        <w:t xml:space="preserve">  |  Avg Cost: $207.83</w:t>
      </w:r>
      <w:r>
        <w:rPr>
          <w:color w:val="6B7280"/>
          <w:sz w:val="20"/>
          <w:szCs w:val="20"/>
        </w:rPr>
        <w:t xml:space="preserve">  |  Return: +36.36%</w:t>
      </w:r>
      <w:r>
        <w:rPr>
          <w:color w:val="6B7280"/>
          <w:sz w:val="20"/>
          <w:szCs w:val="20"/>
        </w:rPr>
        <w:t xml:space="preserve">  |  Conviction: Medium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Arm Holdings licenses CPU architecture and chip designs used in the vast majority of the world's mobile devices, and is expanding into data-center and AI-accelerator-adjacent silicon.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royalty-model, high-margin way to participate in AI-driven silicon growth beyond mobile — as hyperscalers design more custom AI chips, Arm's architecture increasingly underpins those designs too.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Data-center and AI-accelerator design wins scale meaningfully, driving royalty-rate increases as Arm's v9 architecture and compute-subsystem licensing gain share beyond mobile.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Mobile royalty base continues growing steadily with v9 mix shift, while data-center/AI licensing adds a smaller but growing incremental contribution.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Data-center design-win momentum disappoints, RISC-V open-architecture competition erodes Arm's long-term licensing position, and the premium multiple compresses on any growth deceleration.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Emerging RISC-V competition as an open-source architecture alternative; customer concentration risk; premium valuation leaves little room for disappointment.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v9 architecture royalty-rate mix shift, data-center/compute-subsystem design win announcements, quarterly royalty revenue growth, RISC-V competitive-share commentary.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Very high multiple reflecting royalty-model operating leverage and the AI-silicon growth narrative — one of the more richly valued names in the book's semiconductor sleeve.</w:t>
      </w:r>
    </w:p>
    <w:p>
      <w:pPr>
        <w:pStyle w:val="Heading2"/>
        <w:spacing w:after="60" w:before="300"/>
      </w:pPr>
      <w:r>
        <w:rPr>
          <w:b/>
          <w:bCs/>
        </w:rPr>
        <w:t xml:space="preserve">AVGO</w:t>
      </w:r>
      <w:r>
        <w:t xml:space="preserve">  —  Broadcom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Semiconductors</w:t>
      </w:r>
      <w:r>
        <w:rPr>
          <w:color w:val="6B7280"/>
          <w:sz w:val="20"/>
          <w:szCs w:val="20"/>
        </w:rPr>
        <w:t xml:space="preserve">  |  Weight: 1.60%</w:t>
      </w:r>
      <w:r>
        <w:rPr>
          <w:color w:val="6B7280"/>
          <w:sz w:val="20"/>
          <w:szCs w:val="20"/>
        </w:rPr>
        <w:t xml:space="preserve">  |  Avg Cost: $293.47</w:t>
      </w:r>
      <w:r>
        <w:rPr>
          <w:color w:val="6B7280"/>
          <w:sz w:val="20"/>
          <w:szCs w:val="20"/>
        </w:rPr>
        <w:t xml:space="preserve">  |  Return: +35.21%</w:t>
      </w:r>
      <w:r>
        <w:rPr>
          <w:color w:val="6B7280"/>
          <w:sz w:val="20"/>
          <w:szCs w:val="20"/>
        </w:rPr>
        <w:t xml:space="preserve">  |  Conviction: High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Broadcom designs custom AI ASICs for hyperscalers including Google (TPUs) and reportedly Meta, alongside networking silicon and the VMware enterprise software business acquired in 2023.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The premier custom-silicon partner for hyperscalers building their own AI chips as an alternative to Nvidia GPUs — a structurally different, higher-visibility (multi-year contracted) business model.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Custom AI ASIC demand from Google, Meta, and additional hyperscaler customers keeps expanding the multi-year backlog, VMware cross-sell continues, and Broadcom cements itself as the default custom-silicon partner.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Existing hyperscaler ASIC programs (Google TPU, Meta) continue scaling as contracted, VMware integration proceeds steadily, growth remains strong but more visible/contracted than speculative AI names.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AI capex growth decelerates industry-wide, a disappointing outlook signals the custom-ASIC growth story is maturing faster than expected, and customer concentration creates lumpiness.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Customer concentration in a handful of hyperscaler ASIC programs; any AI capex digestion pause hits the backlog-dependent growth story; VMware integration/customer-retention risk.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Quarterly AI/custom-silicon revenue growth and forward guidance, new hyperscaler ASIC customer announcements, VMware ARR growth, hyperscaler capex commentary.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Premium multiple reflecting the custom-AI-silicon growth narrative — a recent guidance reiteration already triggered one sector-wide derating.</w:t>
      </w:r>
    </w:p>
    <w:p>
      <w:pPr>
        <w:pStyle w:val="Heading2"/>
        <w:spacing w:after="80" w:before="150"/>
      </w:pPr>
      <w:r>
        <w:t xml:space="preserve">Communication Services</w:t>
      </w:r>
    </w:p>
    <w:p>
      <w:pPr>
        <w:pStyle w:val="Heading2"/>
        <w:spacing w:after="60" w:before="300"/>
      </w:pPr>
      <w:r>
        <w:rPr>
          <w:b/>
          <w:bCs/>
        </w:rPr>
        <w:t xml:space="preserve">META</w:t>
      </w:r>
      <w:r>
        <w:t xml:space="preserve">  —  Meta Platforms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Communication Services</w:t>
      </w:r>
      <w:r>
        <w:rPr>
          <w:color w:val="6B7280"/>
          <w:sz w:val="20"/>
          <w:szCs w:val="20"/>
        </w:rPr>
        <w:t xml:space="preserve">  |  Weight: 8.75%</w:t>
      </w:r>
      <w:r>
        <w:rPr>
          <w:color w:val="6B7280"/>
          <w:sz w:val="20"/>
          <w:szCs w:val="20"/>
        </w:rPr>
        <w:t xml:space="preserve">  |  Avg Cost: $234.32</w:t>
      </w:r>
      <w:r>
        <w:rPr>
          <w:color w:val="6B7280"/>
          <w:sz w:val="20"/>
          <w:szCs w:val="20"/>
        </w:rPr>
        <w:t xml:space="preserve">  |  Return: +167.66%</w:t>
      </w:r>
      <w:r>
        <w:rPr>
          <w:color w:val="6B7280"/>
          <w:sz w:val="20"/>
          <w:szCs w:val="20"/>
        </w:rPr>
        <w:t xml:space="preserve">  |  Conviction: High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Meta operates Facebook, Instagram, WhatsApp, and Messenger, monetized almost entirely through advertising, plus Reality Labs (AR/VR/AI wearables), which remains loss-making. Now one of the largest AI capex spenders globally.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Best-in-class digital advertising business with genuine AI-driven engagement and monetization gains, funding an aggressive AI infrastructure buildout from enormous free cash flow rather than external capital.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AI-driven ad-load and ranking improvements keep lifting revenue per user well above peers; Meta's own model stack (Llama, superintelligence effort) reduces dependence on external AI vendors; capex is self-funded.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Core advertising keeps compounding at a mid-teens clip; Reality Labs losses persist but stay a manageable drag; AI capex stays elevated, compressing FCF conversion without threatening the core franchise.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Capex intensity (reportedly entering the cloud-infrastructure/neocloud market) pressures margins and FCF longer than expected; Reality Labs losses never inflect; regulatory pressure caps monetization flexibility.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Advertising-cycle sensitivity to macro slowdowns; regulatory/antitrust overhang in US and EU; capex ROI uncertainty; competitive pressure from TikTok and AI-native content discovery.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Quarterly ad pricing/impression growth, capex guidance revisions, any concrete news on Meta's cloud-infrastructure ambitions, Reality Labs loss trajectory.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Mid-to-high-20s forward P/E for a business still compounding revenue in the mid-teens with expanding AI-driven margins — a premium multiple that assumes the ad-monetization gains are durable.</w:t>
      </w:r>
    </w:p>
    <w:p>
      <w:pPr>
        <w:pStyle w:val="Heading2"/>
        <w:spacing w:after="60" w:before="300"/>
      </w:pPr>
      <w:r>
        <w:rPr>
          <w:b/>
          <w:bCs/>
        </w:rPr>
        <w:t xml:space="preserve">GOOGL</w:t>
      </w:r>
      <w:r>
        <w:t xml:space="preserve">  —  Alphabet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Communication Services</w:t>
      </w:r>
      <w:r>
        <w:rPr>
          <w:color w:val="6B7280"/>
          <w:sz w:val="20"/>
          <w:szCs w:val="20"/>
        </w:rPr>
        <w:t xml:space="preserve">  |  Weight: 3.16%</w:t>
      </w:r>
      <w:r>
        <w:rPr>
          <w:color w:val="6B7280"/>
          <w:sz w:val="20"/>
          <w:szCs w:val="20"/>
        </w:rPr>
        <w:t xml:space="preserve">  |  Avg Cost: $274.57</w:t>
      </w:r>
      <w:r>
        <w:rPr>
          <w:color w:val="6B7280"/>
          <w:sz w:val="20"/>
          <w:szCs w:val="20"/>
        </w:rPr>
        <w:t xml:space="preserve">  |  Return: +27.45%</w:t>
      </w:r>
      <w:r>
        <w:rPr>
          <w:color w:val="6B7280"/>
          <w:sz w:val="20"/>
          <w:szCs w:val="20"/>
        </w:rPr>
        <w:t xml:space="preserve">  |  Conviction: High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Alphabet's core businesses are Google Search, YouTube, Google Cloud, and Android/Play, monetized primarily through advertising and increasingly through cloud infrastructure and Gemini-branded AI products.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high-conviction core holding: Search remains the most profitable advertising business ever built, Google Cloud has reached durable profitability, and Gemini gives Alphabet a credible frontier-AI position.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Gemini-powered AI Overviews/Search products defend and extend Search's monetization, Google Cloud keeps taking AI-infrastructure share from AWS/Azure, and antitrust remedies land lighter than feared.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Search grows steadily despite AI-search disruption fears, Cloud continues its profitable growth trajectory, and the business compounds at a solid low-double-digit rate overall.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AI chatbots structurally erode Search query volume and ad monetization faster than Alphabet can offset, and antitrust remedies meaningfully impair the core business model.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Antitrust/regulatory overhang; AI-driven disruption risk to the core Search query/ad model; heavy capex ramp to compete in AI infrastructure and models.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Search revenue growth and AI Overviews monetization data, Google Cloud growth/margin trajectory, Gemini model releases and enterprise adoption, antitrust remedy rulings.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Trades at a below-market-average multiple for its growth rate specifically because of the AI-disruption and antitrust overhangs.</w:t>
      </w:r>
    </w:p>
    <w:p>
      <w:pPr>
        <w:pStyle w:val="Heading2"/>
        <w:spacing w:after="60" w:before="300"/>
      </w:pPr>
      <w:r>
        <w:rPr>
          <w:b/>
          <w:bCs/>
        </w:rPr>
        <w:t xml:space="preserve">NFLX</w:t>
      </w:r>
      <w:r>
        <w:t xml:space="preserve">  —  Netflix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Communication Services</w:t>
      </w:r>
      <w:r>
        <w:rPr>
          <w:color w:val="6B7280"/>
          <w:sz w:val="20"/>
          <w:szCs w:val="20"/>
        </w:rPr>
        <w:t xml:space="preserve">  |  Weight: 0.62%</w:t>
      </w:r>
      <w:r>
        <w:rPr>
          <w:color w:val="6B7280"/>
          <w:sz w:val="20"/>
          <w:szCs w:val="20"/>
        </w:rPr>
        <w:t xml:space="preserve">  |  Avg Cost: $79.23</w:t>
      </w:r>
      <w:r>
        <w:rPr>
          <w:color w:val="6B7280"/>
          <w:sz w:val="20"/>
          <w:szCs w:val="20"/>
        </w:rPr>
        <w:t xml:space="preserve">  |  Return: -13.50%</w:t>
      </w:r>
      <w:r>
        <w:rPr>
          <w:color w:val="6B7280"/>
          <w:sz w:val="20"/>
          <w:szCs w:val="20"/>
        </w:rPr>
        <w:t xml:space="preserve">  |  Conviction: Medium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Netflix is the largest global subscription streaming service, monetizing through subscription tiers (including an ad-supported tier) and licensed/original content across film, TV, live programming and gaming.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core, established streaming leader — the password-sharing crackdown and ad-tier rollout successfully reaccelerated growth in recent years; the thesis is whether that reacceleration is durable or a one-time catch-up.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The ad-supported tier scales into a meaningful, high-margin revenue stream as ad-tech infrastructure matures, live programming further expands the addressable audience, and content spending efficiency keeps improving margins.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Subscriber growth normalizes to a steadier, more moderate pace post-crackdown, with the ad tier and price increases providing continued but less dramatic revenue growth.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Subscriber growth decelerates meaningfully now that the password-sharing crackdown's benefit has been realized, content-cost inflation pressures margins, and competitive intensity caps pricing power.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Post-crackdown growth-normalization risk; content-cost inflation, especially for live sports/events; intensifying streaming competition; consumer discretionary spending sensitivity.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Subscriber growth trends, ad-tier revenue and ARPU data, live-programming/sports-rights announcements, content spending guidance.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Premium media/streaming multiple that has come under pressure as the market questions whether recent growth reacceleration was durable.</w:t>
      </w:r>
    </w:p>
    <w:p>
      <w:pPr>
        <w:pStyle w:val="Heading2"/>
        <w:spacing w:after="80" w:before="150"/>
      </w:pPr>
      <w:r>
        <w:t xml:space="preserve">Software &amp; Cybersecurity</w:t>
      </w:r>
    </w:p>
    <w:p>
      <w:pPr>
        <w:pStyle w:val="Heading2"/>
        <w:spacing w:after="60" w:before="300"/>
      </w:pPr>
      <w:r>
        <w:rPr>
          <w:b/>
          <w:bCs/>
        </w:rPr>
        <w:t xml:space="preserve">PANW</w:t>
      </w:r>
      <w:r>
        <w:t xml:space="preserve">  —  Palo Alto Networks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Software &amp; Cybersecurity</w:t>
      </w:r>
      <w:r>
        <w:rPr>
          <w:color w:val="6B7280"/>
          <w:sz w:val="20"/>
          <w:szCs w:val="20"/>
        </w:rPr>
        <w:t xml:space="preserve">  |  Weight: 5.05%</w:t>
      </w:r>
      <w:r>
        <w:rPr>
          <w:color w:val="6B7280"/>
          <w:sz w:val="20"/>
          <w:szCs w:val="20"/>
        </w:rPr>
        <w:t xml:space="preserve">  |  Avg Cost: $160.32</w:t>
      </w:r>
      <w:r>
        <w:rPr>
          <w:color w:val="6B7280"/>
          <w:sz w:val="20"/>
          <w:szCs w:val="20"/>
        </w:rPr>
        <w:t xml:space="preserve">  |  Return: +109.13%</w:t>
      </w:r>
      <w:r>
        <w:rPr>
          <w:color w:val="6B7280"/>
          <w:sz w:val="20"/>
          <w:szCs w:val="20"/>
        </w:rPr>
        <w:t xml:space="preserve">  |  Conviction: High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Palo Alto Networks sells network security (firewalls), cloud security (Prisma), and security operations (Cortex/XSIAM) software, pursuing a 'platformization' strategy.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Best-of-breed cybersecurity platform consolidator — as enterprises rationalize point-tool sprawl, Palo Alto is positioned to benefit from platform bundling deals (0.88 correlation with CRWD, 0.72 with FTNT).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Platformization deals accelerate, driving durable double-digit ARR growth and margin expansion as customers consolidate vendors.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Steady mid-teens ARR growth continues; platformization is real but slower than bulls hope.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AI-native security startups and hyperscaler-bundled security tools erode pricing power; platformization deals prove harder to close at scale.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Intensifying competition from CrowdStrike, Fortinet, and AI-native entrants; large-deal lumpiness; high multiple leaves little room for a growth deceleration.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Quarterly platformization deal count and ARR mix, next-gen security ARR growth, competitive win/loss commentary versus CRWD.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Premium software multiple (high-30s/40s forward P/E) reflecting durable double-digit growth expectations.</w:t>
      </w:r>
    </w:p>
    <w:p>
      <w:pPr>
        <w:pStyle w:val="Heading2"/>
        <w:spacing w:after="60" w:before="300"/>
      </w:pPr>
      <w:r>
        <w:rPr>
          <w:b/>
          <w:bCs/>
        </w:rPr>
        <w:t xml:space="preserve">NOW</w:t>
      </w:r>
      <w:r>
        <w:t xml:space="preserve">  —  ServiceNow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Software &amp; Cybersecurity</w:t>
      </w:r>
      <w:r>
        <w:rPr>
          <w:color w:val="6B7280"/>
          <w:sz w:val="20"/>
          <w:szCs w:val="20"/>
        </w:rPr>
        <w:t xml:space="preserve">  |  Weight: 1.73%</w:t>
      </w:r>
      <w:r>
        <w:rPr>
          <w:color w:val="6B7280"/>
          <w:sz w:val="20"/>
          <w:szCs w:val="20"/>
        </w:rPr>
        <w:t xml:space="preserve">  |  Avg Cost: $84.76</w:t>
      </w:r>
      <w:r>
        <w:rPr>
          <w:color w:val="6B7280"/>
          <w:sz w:val="20"/>
          <w:szCs w:val="20"/>
        </w:rPr>
        <w:t xml:space="preserve">  |  Return: +12.62%</w:t>
      </w:r>
      <w:r>
        <w:rPr>
          <w:color w:val="6B7280"/>
          <w:sz w:val="20"/>
          <w:szCs w:val="20"/>
        </w:rPr>
        <w:t xml:space="preserve">  |  Conviction: High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ServiceNow provides enterprise workflow automation software (IT service management, HR, customer service) and is pushing hard into agentic AI as its next growth platform.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durable enterprise-software platform with genuine, monetizing-today AI upside — ServiceNow's AI agent products (Now Assist, AI Agent orchestration) are already being sold as incremental ACV.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AI Agent/Now Assist products drive a meaningful incremental ACV growth leg on top of the core platform, expanding both seat count and per-seat pricing as agentic workflows take over routine tasks.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Core platform continues its consistent 20%+ subscription growth; AI products add a modest but real incremental contribution.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Enterprise AI-agent adoption proves slower and more fragmented than the roadmap assumes, competitors bundle competing agentic capabilities into their own suites.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Intensifying competition from platform peers building their own AI-agent capabilities; premium valuation leaves limited room for disappointment; large-enterprise sales-cycle lumpiness.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Quarterly subscription revenue and cRPO growth, AI Agent/Now Assist ACV disclosure, large-deal contract counts, competitive commentary versus Salesforce/Microsoft.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Premium enterprise-software multiple reflecting best-in-class execution and the AI-agent growth narrative.</w:t>
      </w:r>
    </w:p>
    <w:p>
      <w:pPr>
        <w:pStyle w:val="Heading2"/>
        <w:spacing w:after="60" w:before="300"/>
      </w:pPr>
      <w:r>
        <w:rPr>
          <w:b/>
          <w:bCs/>
        </w:rPr>
        <w:t xml:space="preserve">FTNT</w:t>
      </w:r>
      <w:r>
        <w:t xml:space="preserve">  —  Fortinet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Software &amp; Cybersecurity</w:t>
      </w:r>
      <w:r>
        <w:rPr>
          <w:color w:val="6B7280"/>
          <w:sz w:val="20"/>
          <w:szCs w:val="20"/>
        </w:rPr>
        <w:t xml:space="preserve">  |  Weight: 1.40%</w:t>
      </w:r>
      <w:r>
        <w:rPr>
          <w:color w:val="6B7280"/>
          <w:sz w:val="20"/>
          <w:szCs w:val="20"/>
        </w:rPr>
        <w:t xml:space="preserve">  |  Avg Cost: $84.30</w:t>
      </w:r>
      <w:r>
        <w:rPr>
          <w:color w:val="6B7280"/>
          <w:sz w:val="20"/>
          <w:szCs w:val="20"/>
        </w:rPr>
        <w:t xml:space="preserve">  |  Return: +83.93%</w:t>
      </w:r>
      <w:r>
        <w:rPr>
          <w:color w:val="6B7280"/>
          <w:sz w:val="20"/>
          <w:szCs w:val="20"/>
        </w:rPr>
        <w:t xml:space="preserve">  |  Conviction: High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Fortinet sells network security appliances (firewalls built on its own custom ASICs), SD-WAN, and a broadening security operations/SASE platform.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Part of the book's cybersecurity block (0.72 correlation with PANW, 0.71 with CRWD) — a well-capitalized, profitable network-security incumbent benefiting from platform-consolidation dynamics.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SASE/SD-WAN and security-operations attach accelerates on top of the core firewall franchise, Fortinet's custom-ASIC cost advantage supports superior margins, firewall refresh cycle provides a tailwind.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Steady firewall-refresh-driven growth continues alongside modest SASE/SD-WAN attach, in line with recent historical growth rates.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Cloud-native, software-only security competitors erode the hardware-firewall business model's relevance over time, and a slower enterprise refresh cycle compresses growth.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Hardware-refresh-cycle dependency creates lumpiness; intensifying competition from cloud-native security vendors; customer concentration in enterprise/mid-market firewall replacement cycles.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Firewall/hardware refresh cycle data, SASE/SD-WAN attach and billings growth, competitive commentary versus Palo Alto and Zscaler.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Reasonable growth-software multiple relative to PANW/CRWD, reflecting its more hardware-centric revenue mix.</w:t>
      </w:r>
    </w:p>
    <w:p>
      <w:pPr>
        <w:pStyle w:val="Heading2"/>
        <w:spacing w:after="80" w:before="150"/>
      </w:pPr>
      <w:r>
        <w:t xml:space="preserve">Consumer</w:t>
      </w:r>
    </w:p>
    <w:p>
      <w:pPr>
        <w:pStyle w:val="Heading2"/>
        <w:spacing w:after="60" w:before="300"/>
      </w:pPr>
      <w:r>
        <w:rPr>
          <w:b/>
          <w:bCs/>
        </w:rPr>
        <w:t xml:space="preserve">EL</w:t>
      </w:r>
      <w:r>
        <w:t xml:space="preserve">  —  Estee Lauder Companies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Consumer</w:t>
      </w:r>
      <w:r>
        <w:rPr>
          <w:color w:val="6B7280"/>
          <w:sz w:val="20"/>
          <w:szCs w:val="20"/>
        </w:rPr>
        <w:t xml:space="preserve">  |  Weight: 4.48%</w:t>
      </w:r>
      <w:r>
        <w:rPr>
          <w:color w:val="6B7280"/>
          <w:sz w:val="20"/>
          <w:szCs w:val="20"/>
        </w:rPr>
        <w:t xml:space="preserve">  |  Avg Cost: $69.12</w:t>
      </w:r>
      <w:r>
        <w:rPr>
          <w:color w:val="6B7280"/>
          <w:sz w:val="20"/>
          <w:szCs w:val="20"/>
        </w:rPr>
        <w:t xml:space="preserve">  |  Return: +19.55%</w:t>
      </w:r>
      <w:r>
        <w:rPr>
          <w:color w:val="6B7280"/>
          <w:sz w:val="20"/>
          <w:szCs w:val="20"/>
        </w:rPr>
        <w:t xml:space="preserve">  |  Conviction: Medium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Estee Lauder owns a portfolio of prestige beauty brands (Estee Lauder, MAC, Clinique, La Mer, Tom Ford Beauty) sold through department stores, specialty retail, travel retail, and e-commerce globally.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turnaround/value name in the Consumer sleeve — prestige beauty pricing power is real, but the company has been working through a multi-year China and travel-retail demand reset.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China prestige beauty demand and travel retail recover meaningfully, the cost-restructuring program drives margin expansion, and brand reinvestment reaccelerates growth.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Gradual, uneven recovery — North America and EMEA stabilize while China/travel retail stays choppy; cost cuts support margins even as top-line growth stays modest.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Chinese consumer demand for prestige beauty structurally resets lower, travel retail oversupply persists, and restructuring savings get reinvested rather than dropping to the bottom line.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Heavy China/travel-retail revenue concentration; brand-relevance risk versus newer indie beauty brands; multi-year restructuring execution risk; FX exposure.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China same-store/prestige-beauty-category trends, travel-retail (duty-free) volume data, quarterly gross-margin progress, brand-level (La Mer, Tom Ford) growth.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Trades at a depressed multiple versus its own history, reflecting skepticism on the China/travel-retail recovery timeline.</w:t>
      </w:r>
    </w:p>
    <w:p>
      <w:pPr>
        <w:pStyle w:val="Heading2"/>
        <w:spacing w:after="80" w:before="150"/>
      </w:pPr>
      <w:r>
        <w:t xml:space="preserve">Power &amp; Utilities</w:t>
      </w:r>
    </w:p>
    <w:p>
      <w:pPr>
        <w:pStyle w:val="Heading2"/>
        <w:spacing w:after="60" w:before="300"/>
      </w:pPr>
      <w:r>
        <w:rPr>
          <w:b/>
          <w:bCs/>
        </w:rPr>
        <w:t xml:space="preserve">TLN</w:t>
      </w:r>
      <w:r>
        <w:t xml:space="preserve">  —  Talen Energy Corporation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Power &amp; Utilities</w:t>
      </w:r>
      <w:r>
        <w:rPr>
          <w:color w:val="6B7280"/>
          <w:sz w:val="20"/>
          <w:szCs w:val="20"/>
        </w:rPr>
        <w:t xml:space="preserve">  |  Weight: 3.41%</w:t>
      </w:r>
      <w:r>
        <w:rPr>
          <w:color w:val="6B7280"/>
          <w:sz w:val="20"/>
          <w:szCs w:val="20"/>
        </w:rPr>
        <w:t xml:space="preserve">  |  Avg Cost: $314.57</w:t>
      </w:r>
      <w:r>
        <w:rPr>
          <w:color w:val="6B7280"/>
          <w:sz w:val="20"/>
          <w:szCs w:val="20"/>
        </w:rPr>
        <w:t xml:space="preserve">  |  Return: +19.98%</w:t>
      </w:r>
      <w:r>
        <w:rPr>
          <w:color w:val="6B7280"/>
          <w:sz w:val="20"/>
          <w:szCs w:val="20"/>
        </w:rPr>
        <w:t xml:space="preserve">  |  Conviction: Medium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Talen Energy owns and operates power generation assets, most notably the Susquehanna nuclear plant, and has signed data-center power-supply agreements (including with Amazon) to feed AI infrastructure buildouts.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direct power-for-AI-data-centers thesis — nuclear baseload capacity is scarce and increasingly valuable as hyperscalers scramble to secure firm power for new AI data centers.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More hyperscaler co-location/power-purchase deals get signed at attractive long-term rates, nuclear capacity value re-rates further, and Talen becomes a template for the sector.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Existing power agreements perform as contracted; incremental deals get signed at a steady pace; the stock tracks the broader power-for-AI theme without a major re-rating catalyst.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Regulatory or interconnection-queue delays slow new data-center power deals, nuclear relicensing/operational risk resurfaces, or a slowdown in AI capex growth reduces urgency.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Regulatory approval risk on power agreements; nuclear plant operational/safety risk; customer concentration in a small number of hyperscaler counterparties; interest-rate sensitivity.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New power-purchase-agreement announcements, nuclear plant uprate/relicensing news, PJM capacity market pricing, hyperscaler data-center capex guidance.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Re-rated meaningfully off the AI-power thesis; current multiple reflects real, contracted cash flows though further upside depends on additional deal announcements.</w:t>
      </w:r>
    </w:p>
    <w:p>
      <w:pPr>
        <w:pStyle w:val="Heading2"/>
        <w:spacing w:after="60" w:before="300"/>
      </w:pPr>
      <w:r>
        <w:rPr>
          <w:b/>
          <w:bCs/>
        </w:rPr>
        <w:t xml:space="preserve">VST</w:t>
      </w:r>
      <w:r>
        <w:t xml:space="preserve">  —  Vistra Corp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Power &amp; Utilities</w:t>
      </w:r>
      <w:r>
        <w:rPr>
          <w:color w:val="6B7280"/>
          <w:sz w:val="20"/>
          <w:szCs w:val="20"/>
        </w:rPr>
        <w:t xml:space="preserve">  |  Weight: 1.01%</w:t>
      </w:r>
      <w:r>
        <w:rPr>
          <w:color w:val="6B7280"/>
          <w:sz w:val="20"/>
          <w:szCs w:val="20"/>
        </w:rPr>
        <w:t xml:space="preserve">  |  Avg Cost: $134.71</w:t>
      </w:r>
      <w:r>
        <w:rPr>
          <w:color w:val="6B7280"/>
          <w:sz w:val="20"/>
          <w:szCs w:val="20"/>
        </w:rPr>
        <w:t xml:space="preserve">  |  Return: +23.78%</w:t>
      </w:r>
      <w:r>
        <w:rPr>
          <w:color w:val="6B7280"/>
          <w:sz w:val="20"/>
          <w:szCs w:val="20"/>
        </w:rPr>
        <w:t xml:space="preserve">  |  Conviction: Medium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Vistra Corp is an integrated power generation and retail electricity company with a significant nuclear fleet (including Comanche Peak), benefiting from the same data-center power-demand thesis as Talen.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second, more diversified power-for-AI-data-centers position alongside Talen — broader generation mix (nuclear, natural gas, some renewables) and a retail electricity business provide more diversification than a pure nuclear-only play.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More data-center power-purchase agreements get signed at attractive rates, nuclear capacity value keeps re-rating on scarcity, and the retail electricity business adds a stable earnings floor.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Existing generation and retail businesses perform steadily, with incremental data-center power deals adding to but not transforming the earnings base.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Regulatory/interconnection delays slow new data-center power deals, and a broader AI-capex slowdown reduces the urgency behind the power-for-data-centers theme.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Regulatory approval risk on power agreements; commodity (natural gas) price exposure; interest-rate sensitivity; correlation with TLN (0.81) means the whole power sleeve shares the same thematic risk.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New data-center power agreement announcements, nuclear fleet operational updates, PJM/ERCOT capacity market pricing, natural gas price trends.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Re-rated meaningfully off the AI-power-demand thesis, similar to Talen.</w:t>
      </w:r>
    </w:p>
    <w:p>
      <w:pPr>
        <w:pStyle w:val="Heading2"/>
        <w:spacing w:after="80" w:before="150"/>
      </w:pPr>
      <w:r>
        <w:t xml:space="preserve">Industrials</w:t>
      </w:r>
    </w:p>
    <w:p>
      <w:pPr>
        <w:pStyle w:val="Heading2"/>
        <w:spacing w:after="60" w:before="300"/>
      </w:pPr>
      <w:r>
        <w:rPr>
          <w:b/>
          <w:bCs/>
        </w:rPr>
        <w:t xml:space="preserve">VRT</w:t>
      </w:r>
      <w:r>
        <w:t xml:space="preserve">  —  Vertiv Holdings Co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Core</w:t>
      </w:r>
      <w:r>
        <w:rPr>
          <w:color w:val="6B7280"/>
          <w:sz w:val="20"/>
          <w:szCs w:val="20"/>
        </w:rPr>
        <w:t xml:space="preserve">  |  Sector: Industrials</w:t>
      </w:r>
      <w:r>
        <w:rPr>
          <w:color w:val="6B7280"/>
          <w:sz w:val="20"/>
          <w:szCs w:val="20"/>
        </w:rPr>
        <w:t xml:space="preserve">  |  Weight: 2.72%</w:t>
      </w:r>
      <w:r>
        <w:rPr>
          <w:color w:val="6B7280"/>
          <w:sz w:val="20"/>
          <w:szCs w:val="20"/>
        </w:rPr>
        <w:t xml:space="preserve">  |  Avg Cost: $304.90</w:t>
      </w:r>
      <w:r>
        <w:rPr>
          <w:color w:val="6B7280"/>
          <w:sz w:val="20"/>
          <w:szCs w:val="20"/>
        </w:rPr>
        <w:t xml:space="preserve">  |  Return: -1.23%</w:t>
      </w:r>
      <w:r>
        <w:rPr>
          <w:color w:val="6B7280"/>
          <w:sz w:val="20"/>
          <w:szCs w:val="20"/>
        </w:rPr>
        <w:t xml:space="preserve">  |  Conviction: Medium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Vertiv makes critical digital infrastructure for data centers — power management, thermal/liquid cooling, and IT management systems — a direct picks-and-shovels supplier to the AI data-center buildout.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core AI-infrastructure beneficiary one layer removed from the chips themselves: every AI data center needs power and cooling equipment, giving Vertiv broader exposure across the whole AI capex cycle.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Liquid-cooling adoption for next-gen high-density AI racks accelerates faster than expected, Vertiv's backlog keeps growing, and margins expand with the higher-value liquid-cooling mix.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Steady backlog growth and margin expansion continue in line with the broader data-center capex cycle.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AI data-center capex growth decelerates or gets pushed out, competitive pressure in cooling/power equipment compresses margins, and the tight correlation with power/utilities names means it falls hard in any AI-infrastructure-wide derating.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High sensitivity to hyperscaler capex cycles; customer concentration in a handful of large data-center operators; competitive entry into liquid cooling from established thermal-management players.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Quarterly backlog/orders growth, liquid-cooling revenue mix disclosure, hyperscaler capex guidance, margin trajectory.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Premium industrial multiple reflecting AI-infrastructure growth rates rather than typical industrial-sector multiples.</w:t>
      </w:r>
    </w:p>
    <w:p>
      <w:pPr>
        <w:pStyle w:val="Heading1"/>
        <w:spacing w:after="100" w:before="300"/>
      </w:pPr>
      <w:r>
        <w:t xml:space="preserve">Index Hedge</w:t>
      </w:r>
    </w:p>
    <w:p>
      <w:pPr>
        <w:pStyle w:val="Heading2"/>
        <w:spacing w:after="80" w:before="150"/>
      </w:pPr>
      <w:r>
        <w:t xml:space="preserve">Index Funds</w:t>
      </w:r>
    </w:p>
    <w:p>
      <w:pPr>
        <w:pStyle w:val="Heading2"/>
        <w:spacing w:after="60" w:before="300"/>
      </w:pPr>
      <w:r>
        <w:rPr>
          <w:b/>
          <w:bCs/>
        </w:rPr>
        <w:t xml:space="preserve">SPY</w:t>
      </w:r>
      <w:r>
        <w:t xml:space="preserve">  —  SPDR S&amp;P 500 ETF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Index Hedge</w:t>
      </w:r>
      <w:r>
        <w:rPr>
          <w:color w:val="6B7280"/>
          <w:sz w:val="20"/>
          <w:szCs w:val="20"/>
        </w:rPr>
        <w:t xml:space="preserve">  |  Sector: Index Funds</w:t>
      </w:r>
      <w:r>
        <w:rPr>
          <w:color w:val="6B7280"/>
          <w:sz w:val="20"/>
          <w:szCs w:val="20"/>
        </w:rPr>
        <w:t xml:space="preserve">  |  Weight: 6.76%</w:t>
      </w:r>
      <w:r>
        <w:rPr>
          <w:color w:val="6B7280"/>
          <w:sz w:val="20"/>
          <w:szCs w:val="20"/>
        </w:rPr>
        <w:t xml:space="preserve">  |  Avg Cost: $655.24</w:t>
      </w:r>
      <w:r>
        <w:rPr>
          <w:color w:val="6B7280"/>
          <w:sz w:val="20"/>
          <w:szCs w:val="20"/>
        </w:rPr>
        <w:t xml:space="preserve">  |  Return: +14.07%</w:t>
      </w:r>
      <w:r>
        <w:rPr>
          <w:color w:val="6B7280"/>
          <w:sz w:val="20"/>
          <w:szCs w:val="20"/>
        </w:rPr>
        <w:t xml:space="preserve">  |  Conviction: High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SPDR S&amp;P 500 ETF Trust — passively tracks the S&amp;P 500 index, the broadest large-cap U.S. equity benchmark.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Structural index-hedge ballast. Not a stock-picking position — exists to dilute single-name and thematic concentration risk in a book otherwise heavily tilted toward semis and AI infrastructure.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Broad U.S. equity market continues compounding; SPY captures the upside of mega-cap tech/AI leadership without single-name blow-up risk.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Market performs in line with long-run historical averages; SPY does its job as ballast, dampening portfolio-level volatility versus the concentrated sleeve.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A broad market drawdown still hurts — SPY offers no protection against a systemic correction, only against single-name idiosyncratic risk.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Full market beta; concentration within the index itself in mega-cap tech names that overlap thematically with the book's other holdings.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Fed policy path, S&amp;P 500 earnings season in aggregate, mega-cap tech weighting shifts.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Trades at the index's blended forward P/E; not a name-specific valuation call.</w:t>
      </w:r>
    </w:p>
    <w:p>
      <w:pPr>
        <w:pStyle w:val="Heading2"/>
        <w:spacing w:after="60" w:before="300"/>
      </w:pPr>
      <w:r>
        <w:rPr>
          <w:b/>
          <w:bCs/>
        </w:rPr>
        <w:t xml:space="preserve">VOO</w:t>
      </w:r>
      <w:r>
        <w:t xml:space="preserve">  —  Vanguard S&amp;P 500 ETF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Index Hedge</w:t>
      </w:r>
      <w:r>
        <w:rPr>
          <w:color w:val="6B7280"/>
          <w:sz w:val="20"/>
          <w:szCs w:val="20"/>
        </w:rPr>
        <w:t xml:space="preserve">  |  Sector: Index Funds</w:t>
      </w:r>
      <w:r>
        <w:rPr>
          <w:color w:val="6B7280"/>
          <w:sz w:val="20"/>
          <w:szCs w:val="20"/>
        </w:rPr>
        <w:t xml:space="preserve">  |  Weight: 6.21%</w:t>
      </w:r>
      <w:r>
        <w:rPr>
          <w:color w:val="6B7280"/>
          <w:sz w:val="20"/>
          <w:szCs w:val="20"/>
        </w:rPr>
        <w:t xml:space="preserve">  |  Avg Cost: $580.93</w:t>
      </w:r>
      <w:r>
        <w:rPr>
          <w:color w:val="6B7280"/>
          <w:sz w:val="20"/>
          <w:szCs w:val="20"/>
        </w:rPr>
        <w:t xml:space="preserve">  |  Return: +18.26%</w:t>
      </w:r>
      <w:r>
        <w:rPr>
          <w:color w:val="6B7280"/>
          <w:sz w:val="20"/>
          <w:szCs w:val="20"/>
        </w:rPr>
        <w:t xml:space="preserve">  |  Conviction: High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Vanguard S&amp;P 500 ETF — economically near-identical to SPY, tracking the same index at a lower expense ratio.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Same structural index-hedge role as SPY; holding both is largely a function of account/brokerage history rather than a differentiated thesis.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Same as SPY.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Same as SPY.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Same as SPY.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Same market-beta and mega-cap concentration risk as SPY; redundant exposure with SPY (near-perfect 1.00 correlation) is a portfolio-construction inefficiency worth noting.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Same as SPY.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Same as SPY, marginally cheaper expense ratio.</w:t>
      </w:r>
    </w:p>
    <w:p>
      <w:pPr>
        <w:pStyle w:val="Heading2"/>
        <w:spacing w:after="60" w:before="300"/>
      </w:pPr>
      <w:r>
        <w:rPr>
          <w:b/>
          <w:bCs/>
        </w:rPr>
        <w:t xml:space="preserve">QQQ</w:t>
      </w:r>
      <w:r>
        <w:t xml:space="preserve">  —  Invesco QQQ Trust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Index Hedge</w:t>
      </w:r>
      <w:r>
        <w:rPr>
          <w:color w:val="6B7280"/>
          <w:sz w:val="20"/>
          <w:szCs w:val="20"/>
        </w:rPr>
        <w:t xml:space="preserve">  |  Sector: Index Funds</w:t>
      </w:r>
      <w:r>
        <w:rPr>
          <w:color w:val="6B7280"/>
          <w:sz w:val="20"/>
          <w:szCs w:val="20"/>
        </w:rPr>
        <w:t xml:space="preserve">  |  Weight: 4.25%</w:t>
      </w:r>
      <w:r>
        <w:rPr>
          <w:color w:val="6B7280"/>
          <w:sz w:val="20"/>
          <w:szCs w:val="20"/>
        </w:rPr>
        <w:t xml:space="preserve">  |  Avg Cost: $558.28</w:t>
      </w:r>
      <w:r>
        <w:rPr>
          <w:color w:val="6B7280"/>
          <w:sz w:val="20"/>
          <w:szCs w:val="20"/>
        </w:rPr>
        <w:t xml:space="preserve">  |  Return: +26.34%</w:t>
      </w:r>
      <w:r>
        <w:rPr>
          <w:color w:val="6B7280"/>
          <w:sz w:val="20"/>
          <w:szCs w:val="20"/>
        </w:rPr>
        <w:t xml:space="preserve">  |  Conviction: High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Invesco QQQ Trust tracks the Nasdaq-100 — the 100 largest non-financial companies on Nasdaq, heavily weighted toward mega-cap tech and semiconductors.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more concentrated, tech/semis-tilted index hedge than SPY/VOO — moves more in sympathy with the book's own semiconductor and AI-infrastructure themes (0.68 correlation with AVGO, 0.60 with VRT).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Mega-cap tech and semis leadership continues, and QQQ captures broad AI-driven earnings growth across dozens of names at once.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Tech/semis keep outperforming the broader market moderately, consistent with recent history.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A tech/semis-led drawdown hits QQQ harder than SPY precisely because of the same concentration that makes it attractive on the way up.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Sector concentration risk (tech/semis dominate the index); less true diversification benefit for this specific book than a broader index fund would provide.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Mega-cap tech earnings season in aggregate, semiconductor sector sentiment.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Trades at the Nasdaq-100's blended forward multiple, elevated versus SPY given its tech tilt.</w:t>
      </w:r>
    </w:p>
    <w:p>
      <w:pPr>
        <w:pStyle w:val="Heading2"/>
        <w:spacing w:after="60" w:before="300"/>
      </w:pPr>
      <w:r>
        <w:rPr>
          <w:b/>
          <w:bCs/>
        </w:rPr>
        <w:t xml:space="preserve">SCHD</w:t>
      </w:r>
      <w:r>
        <w:t xml:space="preserve">  —  Schwab U.S. Dividend Equity ETF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Index Hedge</w:t>
      </w:r>
      <w:r>
        <w:rPr>
          <w:color w:val="6B7280"/>
          <w:sz w:val="20"/>
          <w:szCs w:val="20"/>
        </w:rPr>
        <w:t xml:space="preserve">  |  Sector: Index Funds</w:t>
      </w:r>
      <w:r>
        <w:rPr>
          <w:color w:val="6B7280"/>
          <w:sz w:val="20"/>
          <w:szCs w:val="20"/>
        </w:rPr>
        <w:t xml:space="preserve">  |  Weight: 1.19%</w:t>
      </w:r>
      <w:r>
        <w:rPr>
          <w:color w:val="6B7280"/>
          <w:sz w:val="20"/>
          <w:szCs w:val="20"/>
        </w:rPr>
        <w:t xml:space="preserve">  |  Avg Cost: $32.24</w:t>
      </w:r>
      <w:r>
        <w:rPr>
          <w:color w:val="6B7280"/>
          <w:sz w:val="20"/>
          <w:szCs w:val="20"/>
        </w:rPr>
        <w:t xml:space="preserve">  |  Return: +2.05%</w:t>
      </w:r>
      <w:r>
        <w:rPr>
          <w:color w:val="6B7280"/>
          <w:sz w:val="20"/>
          <w:szCs w:val="20"/>
        </w:rPr>
        <w:t xml:space="preserve">  |  Conviction: High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Schwab U.S. Dividend Equity ETF tracks an index of U.S. companies with a history of consistent dividend payments and quality fundamentals screens (profitability, leverage).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The book's dedicated income/quality-value ballast — does almost all the work behind the portfolio's modest 0.24% weighted dividend yield, diversifying away from the growth/AI-infrastructure tilt.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Dividend-paying value/quality stocks outperform in a rotation away from high-multiple growth names, providing a genuine offset if the book's AI/semis thesis cools.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SCHD performs in line with its historical quality-dividend factor tilt, lagging in strong growth-led markets but providing ballast in choppier periods.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A prolonged growth-led market leaves SCHD structurally lagging, though that's the acknowledged tradeoff of holding it as a diversifier.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Factor-timing risk — dividend/quality strategies structurally underperform in strong growth markets, in tension with the rest of the book's growth tilt.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Value-versus-growth factor rotation broadly; dividend-payer earnings season.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Trades at a below-market multiple by construction (the index screens for value/quality factors).</w:t>
      </w:r>
    </w:p>
    <w:p>
      <w:pPr>
        <w:pStyle w:val="Heading1"/>
        <w:spacing w:after="100" w:before="300"/>
      </w:pPr>
      <w:r>
        <w:t xml:space="preserve">Emerging Growth</w:t>
      </w:r>
    </w:p>
    <w:p>
      <w:pPr>
        <w:pStyle w:val="Heading2"/>
        <w:spacing w:after="80" w:before="150"/>
      </w:pPr>
      <w:r>
        <w:t xml:space="preserve">Software &amp; Cybersecurity</w:t>
      </w:r>
    </w:p>
    <w:p>
      <w:pPr>
        <w:pStyle w:val="Heading2"/>
        <w:spacing w:after="60" w:before="300"/>
      </w:pPr>
      <w:r>
        <w:rPr>
          <w:b/>
          <w:bCs/>
        </w:rPr>
        <w:t xml:space="preserve">DDOG</w:t>
      </w:r>
      <w:r>
        <w:t xml:space="preserve">  —  Datadog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Emerging Growth</w:t>
      </w:r>
      <w:r>
        <w:rPr>
          <w:color w:val="6B7280"/>
          <w:sz w:val="20"/>
          <w:szCs w:val="20"/>
        </w:rPr>
        <w:t xml:space="preserve">  |  Sector: Software &amp; Cybersecurity</w:t>
      </w:r>
      <w:r>
        <w:rPr>
          <w:color w:val="6B7280"/>
          <w:sz w:val="20"/>
          <w:szCs w:val="20"/>
        </w:rPr>
        <w:t xml:space="preserve">  |  Weight: 2.22%</w:t>
      </w:r>
      <w:r>
        <w:rPr>
          <w:color w:val="6B7280"/>
          <w:sz w:val="20"/>
          <w:szCs w:val="20"/>
        </w:rPr>
        <w:t xml:space="preserve">  |  Avg Cost: $119.27</w:t>
      </w:r>
      <w:r>
        <w:rPr>
          <w:color w:val="6B7280"/>
          <w:sz w:val="20"/>
          <w:szCs w:val="20"/>
        </w:rPr>
        <w:t xml:space="preserve">  |  Return: +106.06%</w:t>
      </w:r>
      <w:r>
        <w:rPr>
          <w:color w:val="6B7280"/>
          <w:sz w:val="20"/>
          <w:szCs w:val="20"/>
        </w:rPr>
        <w:t xml:space="preserve">  |  Conviction: High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Datadog provides cloud-native observability and monitoring software (infrastructure, application performance, log management, security) that helps engineering teams run and debug modern cloud applications.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An emerging-growth software compounder benefiting from both cloud migration and rising AI-workload observability needs, as companies need to monitor increasingly complex AI/agentic systems.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AI-workload monitoring (LLM observability, agent tracing) becomes a major new product category that Datadog leads, land-and-expand accelerates net-revenue-retention back toward historical highs.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Steady 20%+ revenue growth continues as cloud migration and multi-product attach persist, without a major new AI-driven growth leg materializing as quickly as bulls hope.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Net-revenue-retention keeps decelerating as cloud-cost-optimization headwinds persist, competition from hyperscaler-native monitoring tools and newer AI-observability startups intensifies.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Customer cloud-cost-optimization cycles directly pressure usage-based revenue; intensifying competition in the observability category; high multiple leaves little room for a growth deceleration surprise.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Net-revenue-retention trend, new product (AI/LLM observability) attach rates, usage-based revenue reacceleration signals, competitive win/loss commentary.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Premium growth-software multiple (high revenue multiple) reflecting durable 20%+ growth expectations.</w:t>
      </w:r>
    </w:p>
    <w:p>
      <w:pPr>
        <w:pStyle w:val="Heading2"/>
        <w:spacing w:after="60" w:before="300"/>
      </w:pPr>
      <w:r>
        <w:rPr>
          <w:b/>
          <w:bCs/>
        </w:rPr>
        <w:t xml:space="preserve">CRWD</w:t>
      </w:r>
      <w:r>
        <w:t xml:space="preserve">  —  CrowdStrike Holdings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Emerging Growth</w:t>
      </w:r>
      <w:r>
        <w:rPr>
          <w:color w:val="6B7280"/>
          <w:sz w:val="20"/>
          <w:szCs w:val="20"/>
        </w:rPr>
        <w:t xml:space="preserve">  |  Sector: Software &amp; Cybersecurity</w:t>
      </w:r>
      <w:r>
        <w:rPr>
          <w:color w:val="6B7280"/>
          <w:sz w:val="20"/>
          <w:szCs w:val="20"/>
        </w:rPr>
        <w:t xml:space="preserve">  |  Weight: 1.14%</w:t>
      </w:r>
      <w:r>
        <w:rPr>
          <w:color w:val="6B7280"/>
          <w:sz w:val="20"/>
          <w:szCs w:val="20"/>
        </w:rPr>
        <w:t xml:space="preserve">  |  Avg Cost: $94.76</w:t>
      </w:r>
      <w:r>
        <w:rPr>
          <w:color w:val="6B7280"/>
          <w:sz w:val="20"/>
          <w:szCs w:val="20"/>
        </w:rPr>
        <w:t xml:space="preserve">  |  Return: +98.84%</w:t>
      </w:r>
      <w:r>
        <w:rPr>
          <w:color w:val="6B7280"/>
          <w:sz w:val="20"/>
          <w:szCs w:val="20"/>
        </w:rPr>
        <w:t xml:space="preserve">  |  Conviction: High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CrowdStrike provides cloud-native endpoint security and threat detection (the Falcon platform), expanding into identity security, cloud security, and AI-driven security operations (Charlotte AI).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best-in-class cybersecurity platform that recovered from a major 2024 global IT outage caused by a faulty software update — the thesis is that the incident did not structurally impair the franchise's competitive position.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Customer retention and new-logo growth fully recover from the outage's reputational impact, Falcon platform module attach accelerates, and Charlotte AI drives a genuine incremental growth vector.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Steady module attach and retention continue at a healthy but not accelerating pace, with the outage impact fully in the rearview mirror but not forgotten by the largest customers.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Enterprise customers who experienced direct outage-related disruption continue slow-walking renewals or diversifying vendors, and intensifying platform competition compresses growth.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Residual reputational/trust risk from the 2024 outage among the largest enterprise accounts; intensifying platformization competition from Palo Alto and Microsoft; premium multiple leaves limited room for disappointment.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Net-new ARR and module attach rates, large-customer retention commentary, Charlotte AI adoption data, residual outage-related customer commentary.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Premium cybersecurity-software multiple, reflecting a full recovery narrative largely already priced in.</w:t>
      </w:r>
    </w:p>
    <w:p>
      <w:pPr>
        <w:pStyle w:val="Heading2"/>
        <w:spacing w:after="80" w:before="150"/>
      </w:pPr>
      <w:r>
        <w:t xml:space="preserve">AI/Cloud Infrastructure</w:t>
      </w:r>
    </w:p>
    <w:p>
      <w:pPr>
        <w:pStyle w:val="Heading2"/>
        <w:spacing w:after="60" w:before="300"/>
      </w:pPr>
      <w:r>
        <w:rPr>
          <w:b/>
          <w:bCs/>
        </w:rPr>
        <w:t xml:space="preserve">WYFI</w:t>
      </w:r>
      <w:r>
        <w:t xml:space="preserve">  —  WhiteFiber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Emerging Growth</w:t>
      </w:r>
      <w:r>
        <w:rPr>
          <w:color w:val="6B7280"/>
          <w:sz w:val="20"/>
          <w:szCs w:val="20"/>
        </w:rPr>
        <w:t xml:space="preserve">  |  Sector: AI/Cloud Infrastructure</w:t>
      </w:r>
      <w:r>
        <w:rPr>
          <w:color w:val="6B7280"/>
          <w:sz w:val="20"/>
          <w:szCs w:val="20"/>
        </w:rPr>
        <w:t xml:space="preserve">  |  Weight: 1.18%</w:t>
      </w:r>
      <w:r>
        <w:rPr>
          <w:color w:val="6B7280"/>
          <w:sz w:val="20"/>
          <w:szCs w:val="20"/>
        </w:rPr>
        <w:t xml:space="preserve">  |  Avg Cost: $13.33</w:t>
      </w:r>
      <w:r>
        <w:rPr>
          <w:color w:val="6B7280"/>
          <w:sz w:val="20"/>
          <w:szCs w:val="20"/>
        </w:rPr>
        <w:t xml:space="preserve">  |  Return: +109.00%</w:t>
      </w:r>
      <w:r>
        <w:rPr>
          <w:color w:val="6B7280"/>
          <w:sz w:val="20"/>
          <w:szCs w:val="20"/>
        </w:rPr>
        <w:t xml:space="preserve">  |  Conviction: Low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WhiteFiber provides AI cloud/GPU infrastructure and data-center colocation services, having pivoted from a crypto-mining-adjacent heritage into AI compute infrastructure.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small, early-stage, high-risk/high-reward bet on continued AI compute infrastructure demand — smaller and more speculative than CRWV/NBIS, reflecting genuinely earlier-stage execution.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AI GPU cloud demand keeps outstripping hyperscaler supply, forcing more workloads to smaller/independent neocloud providers, and WhiteFiber scales faster than the market expects.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Steady but modest scaling of AI infrastructure capacity and customer contracts, tracking the broader neocloud sector's growth without a standout catalyst.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Larger, better-capitalized neocloud competitors out-compete for GPU allocation and customer contracts, and a smaller/earlier-stage balance sheet leaves less room for error.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Smallest-cap, least-established name in the AI-infrastructure sleeve; heavy sensitivity to GPU allocation/availability from Nvidia; customer concentration risk.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New data-center capacity announcements, customer contract wins, funding/balance-sheet updates, broader neocloud sector sentiment.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Small-cap, early-stage valuation with limited historical earnings to anchor a multiple — priced substantially on growth-narrative and sector-sentiment.</w:t>
      </w:r>
    </w:p>
    <w:p>
      <w:pPr>
        <w:pStyle w:val="Heading2"/>
        <w:spacing w:after="60" w:before="300"/>
      </w:pPr>
      <w:r>
        <w:rPr>
          <w:b/>
          <w:bCs/>
        </w:rPr>
        <w:t xml:space="preserve">CRWV</w:t>
      </w:r>
      <w:r>
        <w:t xml:space="preserve">  —  CoreWeave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Emerging Growth</w:t>
      </w:r>
      <w:r>
        <w:rPr>
          <w:color w:val="6B7280"/>
          <w:sz w:val="20"/>
          <w:szCs w:val="20"/>
        </w:rPr>
        <w:t xml:space="preserve">  |  Sector: AI/Cloud Infrastructure</w:t>
      </w:r>
      <w:r>
        <w:rPr>
          <w:color w:val="6B7280"/>
          <w:sz w:val="20"/>
          <w:szCs w:val="20"/>
        </w:rPr>
        <w:t xml:space="preserve">  |  Weight: 1.25%</w:t>
      </w:r>
      <w:r>
        <w:rPr>
          <w:color w:val="6B7280"/>
          <w:sz w:val="20"/>
          <w:szCs w:val="20"/>
        </w:rPr>
        <w:t xml:space="preserve">  |  Avg Cost: $82.94</w:t>
      </w:r>
      <w:r>
        <w:rPr>
          <w:color w:val="6B7280"/>
          <w:sz w:val="20"/>
          <w:szCs w:val="20"/>
        </w:rPr>
        <w:t xml:space="preserve">  |  Return: -0.36%</w:t>
      </w:r>
      <w:r>
        <w:rPr>
          <w:color w:val="6B7280"/>
          <w:sz w:val="20"/>
          <w:szCs w:val="20"/>
        </w:rPr>
        <w:t xml:space="preserve">  |  Conviction: Low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CoreWeave is an AI-focused cloud infrastructure provider (GPU cloud), heavily backed by and dependent on Nvidia GPU allocation, with major customer relationships including Microsoft and OpenAI.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pure-play bet on continued GPU-cloud/neocloud demand outstripping hyperscaler capacity — genuinely early-stage and high-risk given customer concentration, but positioned at the center of the AI-compute buildout.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Microsoft/OpenAI and other hyperscaler-adjacent customer contracts keep expanding, CoreWeave secures durable multi-year GPU capacity commitments from Nvidia, and the business scales into a profitable, diversified neocloud leader.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Existing large customer contracts continue as contracted while new customer diversification proceeds slowly, keeping growth strong but concentration risk elevated.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Customer concentration proves the central vulnerability — any pullback or renegotiation from Microsoft or OpenAI hits results disproportionately, and broader AI-infrastructure sector sentiment compresses the multiple sector-wide.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Extreme customer concentration in a handful of large contracts; heavy capital intensity and debt used to fund GPU purchases; total dependence on Nvidia GPU allocation and pricing; highly correlated with NBIS (0.79).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Customer contract renewals/expansions (especially Microsoft/OpenAI), new customer diversification announcements, GPU supply/allocation commentary from Nvidia, quarterly capacity utilization and backlog data.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Priced on forward growth and contracted backlog rather than current earnings — highly sensitive to sector-wide neocloud sentiment swings.</w:t>
      </w:r>
    </w:p>
    <w:p>
      <w:pPr>
        <w:pStyle w:val="Heading2"/>
        <w:spacing w:after="60" w:before="300"/>
      </w:pPr>
      <w:r>
        <w:rPr>
          <w:b/>
          <w:bCs/>
        </w:rPr>
        <w:t xml:space="preserve">NBIS</w:t>
      </w:r>
      <w:r>
        <w:t xml:space="preserve">  —  Nebius Group N.V.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Emerging Growth</w:t>
      </w:r>
      <w:r>
        <w:rPr>
          <w:color w:val="6B7280"/>
          <w:sz w:val="20"/>
          <w:szCs w:val="20"/>
        </w:rPr>
        <w:t xml:space="preserve">  |  Sector: AI/Cloud Infrastructure</w:t>
      </w:r>
      <w:r>
        <w:rPr>
          <w:color w:val="6B7280"/>
          <w:sz w:val="20"/>
          <w:szCs w:val="20"/>
        </w:rPr>
        <w:t xml:space="preserve">  |  Weight: 1.31%</w:t>
      </w:r>
      <w:r>
        <w:rPr>
          <w:color w:val="6B7280"/>
          <w:sz w:val="20"/>
          <w:szCs w:val="20"/>
        </w:rPr>
        <w:t xml:space="preserve">  |  Avg Cost: $90.12</w:t>
      </w:r>
      <w:r>
        <w:rPr>
          <w:color w:val="6B7280"/>
          <w:sz w:val="20"/>
          <w:szCs w:val="20"/>
        </w:rPr>
        <w:t xml:space="preserve">  |  Return: +142.08%</w:t>
      </w:r>
      <w:r>
        <w:rPr>
          <w:color w:val="6B7280"/>
          <w:sz w:val="20"/>
          <w:szCs w:val="20"/>
        </w:rPr>
        <w:t xml:space="preserve">  |  Conviction: Medium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Nebius Group is an AI cloud infrastructure company built from former Yandex assets, providing GPU compute and AI infrastructure services, listed on Nasdaq.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direct neocloud/AI-infrastructure bet — recently pressured by reports that Meta may enter the cloud-infrastructure market, triggering a sector-wide derating of neoclouds; July 29, 2026 earnings is the near-term catalyst.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The Meta-cloud-entry threat proves overstated or years away, Nebius keeps signing new GPU-cloud contracts, and the July 29 earnings report reassures the market on demand trends.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Nebius continues growing its GPU-cloud business steadily, the Meta-cloud-entry overhang persists as a sector-wide sentiment drag, and the stock stays volatile around AI-infrastructure sector news flow.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Meta (or another hyperscaler) does enter cloud infrastructure competitively, pressuring pricing and customer-acquisition economics for independent neoclouds broadly, and July 29 earnings disappoint.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Highest-profile name-specific risk in the book: the Meta-cloud-entry overhang; customer concentration; heavy capex intensity; extremely high correlation (0.79-1.00) with CRWV and NBIL.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July 29, 2026 earnings (key near-term catalyst), further Meta cloud-infrastructure-entry news, GPU supply/Nvidia allocation commentary, new customer contract announcements.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Has derated meaningfully off the Meta-cloud-entry headlines; the July 29 print will test whether the pullback was sentiment noise or legitimate repricing.</w:t>
      </w:r>
    </w:p>
    <w:p>
      <w:pPr>
        <w:pStyle w:val="Heading2"/>
        <w:spacing w:after="80" w:before="150"/>
      </w:pPr>
      <w:r>
        <w:t xml:space="preserve">Industrials</w:t>
      </w:r>
    </w:p>
    <w:p>
      <w:pPr>
        <w:pStyle w:val="Heading2"/>
        <w:spacing w:after="60" w:before="300"/>
      </w:pPr>
      <w:r>
        <w:rPr>
          <w:b/>
          <w:bCs/>
        </w:rPr>
        <w:t xml:space="preserve">SYM</w:t>
      </w:r>
      <w:r>
        <w:t xml:space="preserve">  —  Symbotic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Emerging Growth</w:t>
      </w:r>
      <w:r>
        <w:rPr>
          <w:color w:val="6B7280"/>
          <w:sz w:val="20"/>
          <w:szCs w:val="20"/>
        </w:rPr>
        <w:t xml:space="preserve">  |  Sector: Industrials</w:t>
      </w:r>
      <w:r>
        <w:rPr>
          <w:color w:val="6B7280"/>
          <w:sz w:val="20"/>
          <w:szCs w:val="20"/>
        </w:rPr>
        <w:t xml:space="preserve">  |  Weight: 0.90%</w:t>
      </w:r>
      <w:r>
        <w:rPr>
          <w:color w:val="6B7280"/>
          <w:sz w:val="20"/>
          <w:szCs w:val="20"/>
        </w:rPr>
        <w:t xml:space="preserve">  |  Avg Cost: $38.55</w:t>
      </w:r>
      <w:r>
        <w:rPr>
          <w:color w:val="6B7280"/>
          <w:sz w:val="20"/>
          <w:szCs w:val="20"/>
        </w:rPr>
        <w:t xml:space="preserve">  |  Return: +10.14%</w:t>
      </w:r>
      <w:r>
        <w:rPr>
          <w:color w:val="6B7280"/>
          <w:sz w:val="20"/>
          <w:szCs w:val="20"/>
        </w:rPr>
        <w:t xml:space="preserve">  |  Conviction: Low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Symbotic designs and deploys AI-powered warehouse automation robotics systems, with Walmart as its largest and most prominent customer and equity partner.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An emerging-growth automation/robotics bet on warehouse and supply-chain labor-cost pressure driving continued automation capex, anchored by a marquee Walmart relationship.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Walmart deployment continues scaling as contracted, additional large retail/logistics customers sign on, and Symbotic's backlog converts to revenue faster than the market expects.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Walmart deployment proceeds on its existing contracted timeline while new customer diversification happens slowly, keeping growth steady but concentrated in one large relationship.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Walmart deployment pace slows or gets renegotiated, new customer wins remain scarce, and the business remains too concentrated to be considered a diversified automation platform.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Extreme customer concentration in Walmart; long, lumpy sales cycles for large warehouse automation deployments; execution risk on complex robotics installations; unproven diversification.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Walmart deployment/backlog progress updates, new large customer announcements, quarterly revenue recognition on system deployments.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Growth-stage valuation dependent on backlog conversion and customer diversification rather than current run-rate earnings.</w:t>
      </w:r>
    </w:p>
    <w:p>
      <w:pPr>
        <w:pStyle w:val="Heading2"/>
        <w:spacing w:after="80" w:before="150"/>
      </w:pPr>
      <w:r>
        <w:t xml:space="preserve">Healthcare Technology</w:t>
      </w:r>
    </w:p>
    <w:p>
      <w:pPr>
        <w:pStyle w:val="Heading2"/>
        <w:spacing w:after="60" w:before="300"/>
      </w:pPr>
      <w:r>
        <w:rPr>
          <w:b/>
          <w:bCs/>
        </w:rPr>
        <w:t xml:space="preserve">TEM</w:t>
      </w:r>
      <w:r>
        <w:t xml:space="preserve">  —  Tempus AI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Emerging Growth</w:t>
      </w:r>
      <w:r>
        <w:rPr>
          <w:color w:val="6B7280"/>
          <w:sz w:val="20"/>
          <w:szCs w:val="20"/>
        </w:rPr>
        <w:t xml:space="preserve">  |  Sector: Healthcare Technology</w:t>
      </w:r>
      <w:r>
        <w:rPr>
          <w:color w:val="6B7280"/>
          <w:sz w:val="20"/>
          <w:szCs w:val="20"/>
        </w:rPr>
        <w:t xml:space="preserve">  |  Weight: 0.57%</w:t>
      </w:r>
      <w:r>
        <w:rPr>
          <w:color w:val="6B7280"/>
          <w:sz w:val="20"/>
          <w:szCs w:val="20"/>
        </w:rPr>
        <w:t xml:space="preserve">  |  Avg Cost: $49.73</w:t>
      </w:r>
      <w:r>
        <w:rPr>
          <w:color w:val="6B7280"/>
          <w:sz w:val="20"/>
          <w:szCs w:val="20"/>
        </w:rPr>
        <w:t xml:space="preserve">  |  Return: -5.57%</w:t>
      </w:r>
      <w:r>
        <w:rPr>
          <w:color w:val="6B7280"/>
          <w:sz w:val="20"/>
          <w:szCs w:val="20"/>
        </w:rPr>
        <w:t xml:space="preserve">  |  Conviction: Low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Tempus AI combines genomic sequencing, clinical data, and AI/machine-learning models to support precision medicine — primarily oncology diagnostics and data licensing to pharmaceutical companies and health systems.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healthcare-AI emerging-growth bet on precision medicine and clinical-data monetization, the book's smallest sector exposure and one of its more speculative positions given the still-developing path to profitability.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Data-licensing deals with pharmaceutical companies scale meaningfully, diagnostic test volume growth accelerates, and the AI-model-driven precision-medicine platform reaches profitability faster than expected.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Steady diagnostic test volume and data-licensing revenue growth continue, with the path to profitability remaining a multi-year story.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Reimbursement pressure on diagnostic testing, slower-than-expected pharma data-licensing deal flow, and continued cash burn without a clear near-term profitability inflection.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Path to profitability remains unproven; healthcare reimbursement and regulatory risk; competitive pressure from other precision-medicine/genomics companies; execution risk scaling data-licensing partnerships.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Data-licensing deal announcements, diagnostic test volume growth, quarterly progress toward profitability, regulatory/reimbursement developments.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Growth-stage valuation dependent on future data-licensing and diagnostic-volume growth rather than current earnings.</w:t>
      </w:r>
    </w:p>
    <w:p>
      <w:pPr>
        <w:pStyle w:val="Heading1"/>
        <w:spacing w:after="100" w:before="300"/>
      </w:pPr>
      <w:r>
        <w:t xml:space="preserve">Speculative Sleeve</w:t>
      </w:r>
    </w:p>
    <w:p>
      <w:pPr>
        <w:pStyle w:val="Heading2"/>
        <w:spacing w:after="80" w:before="150"/>
      </w:pPr>
      <w:r>
        <w:t xml:space="preserve">Industrials</w:t>
      </w:r>
    </w:p>
    <w:p>
      <w:pPr>
        <w:pStyle w:val="Heading2"/>
        <w:spacing w:after="60" w:before="300"/>
      </w:pPr>
      <w:r>
        <w:rPr>
          <w:b/>
          <w:bCs/>
        </w:rPr>
        <w:t xml:space="preserve">SPCX</w:t>
      </w:r>
      <w:r>
        <w:t xml:space="preserve">  —  SpaceX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Speculative Sleeve</w:t>
      </w:r>
      <w:r>
        <w:rPr>
          <w:color w:val="6B7280"/>
          <w:sz w:val="20"/>
          <w:szCs w:val="20"/>
        </w:rPr>
        <w:t xml:space="preserve">  |  Sector: Industrials</w:t>
      </w:r>
      <w:r>
        <w:rPr>
          <w:color w:val="6B7280"/>
          <w:sz w:val="20"/>
          <w:szCs w:val="20"/>
        </w:rPr>
        <w:t xml:space="preserve">  |  Weight: 2.78%</w:t>
      </w:r>
      <w:r>
        <w:rPr>
          <w:color w:val="6B7280"/>
          <w:sz w:val="20"/>
          <w:szCs w:val="20"/>
        </w:rPr>
        <w:t xml:space="preserve">  |  Avg Cost: $135.00</w:t>
      </w:r>
      <w:r>
        <w:rPr>
          <w:color w:val="6B7280"/>
          <w:sz w:val="20"/>
          <w:szCs w:val="20"/>
        </w:rPr>
        <w:t xml:space="preserve">  |  Return: -14.62%</w:t>
      </w:r>
      <w:r>
        <w:rPr>
          <w:color w:val="6B7280"/>
          <w:sz w:val="20"/>
          <w:szCs w:val="20"/>
        </w:rPr>
        <w:t xml:space="preserve">  |  Conviction: Low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SpaceX (privately held) — Falcon 9/Falcon Heavy launch services, Starship development, and the Starlink satellite broadband constellation, reportedly the dominant global commercial launch provider.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speculative-sleeve bet on the dominant private space company, held through secondary/pre-IPO markets — access itself is part of the thesis given SpaceX's continued private status.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Starship reaches full operational reusability, Starlink scales into a major standalone profit center, and any eventual IPO or tender offer re-rates the implied valuation materially higher.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Falcon 9 launch cadence and Starlink subscriber growth continue steadily; Starship development proceeds on a bumpy but forward-moving timeline; no near-term liquidity event.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Starship development setbacks persist, Starlink competition (Amazon Kuiper, OneWeb) pressures broadband economics, and illiquidity means the position can't be exited even if the thesis deteriorates.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Complete illiquidity — the one position without same-day exit capability; no public financial disclosure; valuation is whatever the last private transaction says; key-person risk.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Starship test flight outcomes, Starlink subscriber/revenue disclosures (rare), secondary-market valuation marks, IPO speculation.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Priced off private secondary-market transactions rather than public multiples — current unrealized loss reflects a markdown from the entry-round valuation.</w:t>
      </w:r>
    </w:p>
    <w:p>
      <w:pPr>
        <w:pStyle w:val="Heading2"/>
        <w:spacing w:after="60" w:before="300"/>
      </w:pPr>
      <w:r>
        <w:rPr>
          <w:b/>
          <w:bCs/>
        </w:rPr>
        <w:t xml:space="preserve">AAL</w:t>
      </w:r>
      <w:r>
        <w:t xml:space="preserve">  —  American Airlines Group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Speculative Sleeve</w:t>
      </w:r>
      <w:r>
        <w:rPr>
          <w:color w:val="6B7280"/>
          <w:sz w:val="20"/>
          <w:szCs w:val="20"/>
        </w:rPr>
        <w:t xml:space="preserve">  |  Sector: Industrials</w:t>
      </w:r>
      <w:r>
        <w:rPr>
          <w:color w:val="6B7280"/>
          <w:sz w:val="20"/>
          <w:szCs w:val="20"/>
        </w:rPr>
        <w:t xml:space="preserve">  |  Weight: 1.03%</w:t>
      </w:r>
      <w:r>
        <w:rPr>
          <w:color w:val="6B7280"/>
          <w:sz w:val="20"/>
          <w:szCs w:val="20"/>
        </w:rPr>
        <w:t xml:space="preserve">  |  Avg Cost: $10.18</w:t>
      </w:r>
      <w:r>
        <w:rPr>
          <w:color w:val="6B7280"/>
          <w:sz w:val="20"/>
          <w:szCs w:val="20"/>
        </w:rPr>
        <w:t xml:space="preserve">  |  Return: +45.28%</w:t>
      </w:r>
      <w:r>
        <w:rPr>
          <w:color w:val="6B7280"/>
          <w:sz w:val="20"/>
          <w:szCs w:val="20"/>
        </w:rPr>
        <w:t xml:space="preserve">  |  Conviction: Low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American Airlines is one of the largest U.S. legacy carriers, operating a global route network with significant debt taken on through the pandemic era.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speculative-sleeve, deep-value airline turnaround bet — high operating leverage to any improvement in demand, pricing, or debt paydown, appropriately small given the sector's thin margins and cyclicality.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Premium/loyalty revenue mix keeps improving, fuel costs stay benign, debt paydown continues, and industry capacity discipline supports better pricing power than the sector has historically sustained.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Steady operational execution and gradual balance-sheet improvement continue without a major re-rating catalyst, consistent with the sector's thin-margin, cyclical profile.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A demand slowdown, fuel-cost spike, or renewed industry capacity war compresses already-thin margins, and the high debt load leaves limited room to absorb a downturn.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Extremely high operating leverage to fuel costs and travel demand; large debt load from the pandemic era; intensely competitive, historically value-destructive industry structure; macro/recession sensitivity.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Fuel cost trends, premium/loyalty revenue mix data, industry capacity (ASM) growth discipline, debt-paydown progress.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Trades at a low absolute multiple typical of the airline sector, reflecting structural thin margins and cyclicality.</w:t>
      </w:r>
    </w:p>
    <w:p>
      <w:pPr>
        <w:pStyle w:val="Heading2"/>
        <w:spacing w:after="60" w:before="300"/>
      </w:pPr>
      <w:r>
        <w:rPr>
          <w:b/>
          <w:bCs/>
        </w:rPr>
        <w:t xml:space="preserve">RKLB</w:t>
      </w:r>
      <w:r>
        <w:t xml:space="preserve">  —  Rocket Lab USA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Speculative Sleeve</w:t>
      </w:r>
      <w:r>
        <w:rPr>
          <w:color w:val="6B7280"/>
          <w:sz w:val="20"/>
          <w:szCs w:val="20"/>
        </w:rPr>
        <w:t xml:space="preserve">  |  Sector: Industrials</w:t>
      </w:r>
      <w:r>
        <w:rPr>
          <w:color w:val="6B7280"/>
          <w:sz w:val="20"/>
          <w:szCs w:val="20"/>
        </w:rPr>
        <w:t xml:space="preserve">  |  Weight: 0.63%</w:t>
      </w:r>
      <w:r>
        <w:rPr>
          <w:color w:val="6B7280"/>
          <w:sz w:val="20"/>
          <w:szCs w:val="20"/>
        </w:rPr>
        <w:t xml:space="preserve">  |  Avg Cost: $78.59</w:t>
      </w:r>
      <w:r>
        <w:rPr>
          <w:color w:val="6B7280"/>
          <w:sz w:val="20"/>
          <w:szCs w:val="20"/>
        </w:rPr>
        <w:t xml:space="preserve">  |  Return: -11.25%</w:t>
      </w:r>
      <w:r>
        <w:rPr>
          <w:color w:val="6B7280"/>
          <w:sz w:val="20"/>
          <w:szCs w:val="20"/>
        </w:rPr>
        <w:t xml:space="preserve">  |  Conviction: Low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Rocket Lab operates the Electron small-satellite launch vehicle, is developing the larger Neutron rocket to compete for medium-lift launch contracts, and has expanded into satellite/space-systems manufacturing.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speculative-sleeve bet on the broader commercialization of space launch and satellite infrastructure, positioned as a smaller, more diversified alternative to a pure-play launch bet.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Neutron reaches successful commercial launch and starts winning medium-lift contracts, the space-systems/satellite-components business scales profitably, and Rocket Lab becomes a credible multi-line space company.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Electron launch cadence continues steadily while Neutron development proceeds on a bumpy but forward-progressing timeline, without a major near-term re-rating catalyst.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Neutron development suffers meaningful delays or a launch failure, competitive pressure (SpaceX's dominance) limits Rocket Lab's addressable market, and space-systems fails to reach profitability.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High execution risk on Neutron's development and first launches; intense competition from SpaceX's dominant, lower-cost position; cash-burn/funding risk; small-cap volatility.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Neutron development milestones and first-launch timing, Electron launch cadence and contract wins, space-systems segment revenue/margin progress, government/defense contract announcements.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Priced substantially on the Neutron growth narrative rather than current Electron-driven earnings.</w:t>
      </w:r>
    </w:p>
    <w:p>
      <w:pPr>
        <w:pStyle w:val="Heading2"/>
        <w:spacing w:after="80" w:before="150"/>
      </w:pPr>
      <w:r>
        <w:t xml:space="preserve">Consumer</w:t>
      </w:r>
    </w:p>
    <w:p>
      <w:pPr>
        <w:pStyle w:val="Heading2"/>
        <w:spacing w:after="60" w:before="300"/>
      </w:pPr>
      <w:r>
        <w:rPr>
          <w:b/>
          <w:bCs/>
        </w:rPr>
        <w:t xml:space="preserve">CAKE</w:t>
      </w:r>
      <w:r>
        <w:t xml:space="preserve">  —  The Cheesecake Factory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Speculative Sleeve</w:t>
      </w:r>
      <w:r>
        <w:rPr>
          <w:color w:val="6B7280"/>
          <w:sz w:val="20"/>
          <w:szCs w:val="20"/>
        </w:rPr>
        <w:t xml:space="preserve">  |  Sector: Consumer</w:t>
      </w:r>
      <w:r>
        <w:rPr>
          <w:color w:val="6B7280"/>
          <w:sz w:val="20"/>
          <w:szCs w:val="20"/>
        </w:rPr>
        <w:t xml:space="preserve">  |  Weight: 2.07%</w:t>
      </w:r>
      <w:r>
        <w:rPr>
          <w:color w:val="6B7280"/>
          <w:sz w:val="20"/>
          <w:szCs w:val="20"/>
        </w:rPr>
        <w:t xml:space="preserve">  |  Avg Cost: $45.40</w:t>
      </w:r>
      <w:r>
        <w:rPr>
          <w:color w:val="6B7280"/>
          <w:sz w:val="20"/>
          <w:szCs w:val="20"/>
        </w:rPr>
        <w:t xml:space="preserve">  |  Return: +88.72%</w:t>
      </w:r>
      <w:r>
        <w:rPr>
          <w:color w:val="6B7280"/>
          <w:sz w:val="20"/>
          <w:szCs w:val="20"/>
        </w:rPr>
        <w:t xml:space="preserve">  |  Conviction: Low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The Cheesecake Factory operates full-service casual dining restaurants under its namesake brand plus North Italia, Flower Child, and other emerging concepts.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speculative-sleeve consumer/restaurant turnaround and multi-concept growth story, smaller and lower-conviction than the book's core holdings.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Same-store sales momentum continues, the emerging concepts scale into meaningful earnings contributors, and margin expansion drives multiple expansion off a historically modest valuation.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Steady low-single-digit same-store sales growth and gradual emerging-concept unit growth continue without a major re-rating catalyst.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Consumer discretionary spending softens in a slowdown, labor/food-cost inflation pressures margins broadly, and emerging concepts fail to scale profitably fast enough.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Consumer discretionary spending sensitivity; labor and commodity (food) cost inflation; execution risk scaling newer concepts profitably; intensely competitive casual-dining category.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Quarterly same-store sales, emerging-concept unit growth and unit economics, labor/food cost commentary, consumer spending data broadly.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Modest restaurant-sector multiple that has already re-rated meaningfully off the position's cost basis.</w:t>
      </w:r>
    </w:p>
    <w:p>
      <w:pPr>
        <w:pStyle w:val="Heading1"/>
        <w:spacing w:after="100" w:before="300"/>
      </w:pPr>
      <w:r>
        <w:t xml:space="preserve">Leveraged/Derivative</w:t>
      </w:r>
    </w:p>
    <w:p>
      <w:pPr>
        <w:pStyle w:val="Heading2"/>
        <w:spacing w:after="80" w:before="150"/>
      </w:pPr>
      <w:r>
        <w:t xml:space="preserve">Leveraged Derivative</w:t>
      </w:r>
    </w:p>
    <w:p>
      <w:pPr>
        <w:pStyle w:val="Heading2"/>
        <w:spacing w:after="60" w:before="300"/>
      </w:pPr>
      <w:r>
        <w:rPr>
          <w:b/>
          <w:bCs/>
        </w:rPr>
        <w:t xml:space="preserve">NBIL</w:t>
      </w:r>
      <w:r>
        <w:t xml:space="preserve">  —  GraniteShares 2x Long NBIS Daily ETF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Bucket: Leveraged/Derivative</w:t>
      </w:r>
      <w:r>
        <w:rPr>
          <w:color w:val="6B7280"/>
          <w:sz w:val="20"/>
          <w:szCs w:val="20"/>
        </w:rPr>
        <w:t xml:space="preserve">  |  Sector: Leveraged Derivative</w:t>
      </w:r>
      <w:r>
        <w:rPr>
          <w:color w:val="6B7280"/>
          <w:sz w:val="20"/>
          <w:szCs w:val="20"/>
        </w:rPr>
        <w:t xml:space="preserve">  |  Weight: 2.81%</w:t>
      </w:r>
      <w:r>
        <w:rPr>
          <w:color w:val="6B7280"/>
          <w:sz w:val="20"/>
          <w:szCs w:val="20"/>
        </w:rPr>
        <w:t xml:space="preserve">  |  Avg Cost: $9.23</w:t>
      </w:r>
      <w:r>
        <w:rPr>
          <w:color w:val="6B7280"/>
          <w:sz w:val="20"/>
          <w:szCs w:val="20"/>
        </w:rPr>
        <w:t xml:space="preserve">  |  Return: +236.51%</w:t>
      </w:r>
      <w:r>
        <w:rPr>
          <w:color w:val="6B7280"/>
          <w:sz w:val="20"/>
          <w:szCs w:val="20"/>
        </w:rPr>
        <w:t xml:space="preserve">  |  Conviction: Low</w:t>
      </w:r>
      <w:r>
        <w:rPr>
          <w:color w:val="6B7280"/>
          <w:sz w:val="20"/>
          <w:szCs w:val="20"/>
        </w:rPr>
        <w:t xml:space="preserve">  |  Status: Active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GraniteShares 2x Long NBIS Daily ETF — a leveraged single-stock ETF designed to deliver approximately 2x the daily return of Nebius Group (NBIS), reset daily.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Investment Thesis: </w:t>
      </w:r>
      <w:r>
        <w:rPr>
          <w:sz w:val="20"/>
          <w:szCs w:val="20"/>
        </w:rPr>
        <w:t xml:space="preserve">A leveraged, capped-size way to amplify conviction in the Nebius/AI-cloud-infrastructure theme without allocating additional capital to the underlying — the book's leveraged-derivative sleeve, capped at 5%.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Bull Case: </w:t>
      </w:r>
      <w:r>
        <w:rPr>
          <w:sz w:val="20"/>
          <w:szCs w:val="20"/>
        </w:rPr>
        <w:t xml:space="preserve">Nebius shares continue their strong run and the leveraged structure amplifies gains; used tactically and kept small, it adds convex upside without threatening portfolio survivability.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Base Case: </w:t>
      </w:r>
      <w:r>
        <w:rPr>
          <w:sz w:val="20"/>
          <w:szCs w:val="20"/>
        </w:rPr>
        <w:t xml:space="preserve">Nebius stays volatile, and daily-reset leverage decay causes the ETF's longer-term return to lag a simple 2x of NBIS's cumulative move — an inherent structural feature of daily-reset products.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Bear Case: </w:t>
      </w:r>
      <w:r>
        <w:rPr>
          <w:sz w:val="20"/>
          <w:szCs w:val="20"/>
        </w:rPr>
        <w:t xml:space="preserve">A sustained NBIS drawdown is amplified 2x, and daily volatility decay compounds losses faster than the underlying stock alone.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Risks: </w:t>
      </w:r>
      <w:r>
        <w:rPr>
          <w:sz w:val="20"/>
          <w:szCs w:val="20"/>
        </w:rPr>
        <w:t xml:space="preserve">Daily-reset compounding/volatility-decay risk (the single most important thing to understand about this instrument); complete dependence on Nebius-specific news flow; not suitable as a long-term buy-and-hold vehicle.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Key Catalysts: </w:t>
      </w:r>
      <w:r>
        <w:rPr>
          <w:sz w:val="20"/>
          <w:szCs w:val="20"/>
        </w:rPr>
        <w:t xml:space="preserve">Anything that moves NBIS itself — Nebius earnings (next report July 29, 2026), Meta cloud-infrastructure-entry headlines, broader neocloud sector sentiment.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Snapshot: </w:t>
      </w:r>
      <w:r>
        <w:rPr>
          <w:sz w:val="20"/>
          <w:szCs w:val="20"/>
        </w:rPr>
        <w:t xml:space="preserve">Not a traditional valuation case — a derivatives-based amplifier of the NBIS thesis; sizing discipline (capped, currently under-limit at 2.9%) matters more than any multiple.</w:t>
      </w:r>
    </w:p>
    <w:p>
      <w:r>
        <w:br w:type="page"/>
      </w:r>
    </w:p>
    <w:p>
      <w:pPr>
        <w:pStyle w:val="Heading1"/>
        <w:spacing w:after="200" w:before="200"/>
      </w:pPr>
      <w:r>
        <w:t xml:space="preserve">Part II — Watchlist (15 Names, Not Held)</w:t>
      </w:r>
    </w:p>
    <w:p>
      <w:pPr>
        <w:spacing w:after="120"/>
      </w:pPr>
      <w:r>
        <w:rPr>
          <w:sz w:val="20"/>
          <w:szCs w:val="20"/>
        </w:rPr>
        <w:t xml:space="preserve">Every name below clears a mechanical quantitative screen before qualitative work begins. Screening protocol (verbatim from the site):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0"/>
          <w:szCs w:val="20"/>
        </w:rPr>
        <w:t xml:space="preserve">Size &amp; liquidity — Minimum Market Capitalization &gt; $2B; Average Daily Volume &gt; 1M shares. Filters out names too small or too thin to size and exit without moving the price.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0"/>
          <w:szCs w:val="20"/>
        </w:rPr>
        <w:t xml:space="preserve">Financial quality — Positive TTM Free Cash Flow &gt; $0, or a credible, funded path to it within 24 months for pre-profit names; Net Debt/EBITDA &lt; 4x. Filters out businesses that depend on continuous external financing to keep operating.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0"/>
          <w:szCs w:val="20"/>
        </w:rPr>
        <w:t xml:space="preserve">Ownership &amp; governance — Insider ownership &gt; 5% or a clearly identifiable founder-operator still active; no open, unresolved accounting or governance red flags. Filters out businesses where management's incentives aren't visibly aligned with shareholders.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0"/>
          <w:szCs w:val="20"/>
        </w:rPr>
        <w:t xml:space="preserve">Thesis fit — Must map to an identifiable theme already represented in the book, or a deliberate, disclosed diversification decision; must clear the same single-position and sleeve caps in the IPS before sizing. Only names that clear all four tiers get a written thesis and a spot on the watchlist.</w:t>
      </w:r>
    </w:p>
    <w:p>
      <w:pPr>
        <w:pStyle w:val="Heading2"/>
        <w:spacing w:after="80" w:before="200"/>
      </w:pPr>
      <w:r>
        <w:t xml:space="preserve">Semiconductors</w:t>
      </w:r>
    </w:p>
    <w:p>
      <w:pPr>
        <w:pStyle w:val="Heading2"/>
        <w:spacing w:after="60" w:before="300"/>
      </w:pPr>
      <w:r>
        <w:rPr>
          <w:b/>
          <w:bCs/>
        </w:rPr>
        <w:t xml:space="preserve">NVDA</w:t>
      </w:r>
      <w:r>
        <w:t xml:space="preserve">  —  NVIDIA Corp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Semiconductors</w:t>
      </w:r>
      <w:r>
        <w:rPr>
          <w:color w:val="6B7280"/>
          <w:sz w:val="20"/>
          <w:szCs w:val="20"/>
        </w:rPr>
        <w:t xml:space="preserve">  |  Price: $212.06</w:t>
      </w:r>
      <w:r>
        <w:rPr>
          <w:color w:val="6B7280"/>
          <w:sz w:val="20"/>
          <w:szCs w:val="20"/>
        </w:rPr>
        <w:t xml:space="preserve">  |  Conviction: Medium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Designs GPUs and AI compute accelerators; the dominant supplier every other AI-infrastructure name in this book ultimately depends 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NVIDIA is the supplier every other AI-infrastructure name in this book ultimately depends on. Heavy indirect AI-compute exposure exists through AMD, INTC, NBIS, NBIL, and CRWV, but no direct exposure to the name most associated with the theme.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It's the consensus trade, and adding NVDA on top of AMD and INTC risks doubling up on the same 'AI chip demand' bet from a different angle rather than diversifying it.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A pullback that makes the entry point less consensus-crowded, or a clearer view on how much of the existing semiconductor sleeve is already effectively an NVDA bet through AMD/INTC.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29.95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29.43x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0.28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0.51%</w:t>
      </w:r>
    </w:p>
    <w:p>
      <w:pPr>
        <w:pStyle w:val="Heading2"/>
        <w:spacing w:after="80" w:before="200"/>
      </w:pPr>
      <w:r>
        <w:t xml:space="preserve">Semiconductor foundry</w:t>
      </w:r>
    </w:p>
    <w:p>
      <w:pPr>
        <w:pStyle w:val="Heading2"/>
        <w:spacing w:after="60" w:before="300"/>
      </w:pPr>
      <w:r>
        <w:rPr>
          <w:b/>
          <w:bCs/>
        </w:rPr>
        <w:t xml:space="preserve">TSM</w:t>
      </w:r>
      <w:r>
        <w:t xml:space="preserve">  —  Taiwan Semiconductor Manufacturing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Semiconductor foundry</w:t>
      </w:r>
      <w:r>
        <w:rPr>
          <w:color w:val="6B7280"/>
          <w:sz w:val="20"/>
          <w:szCs w:val="20"/>
        </w:rPr>
        <w:t xml:space="preserve">  |  Price: $421.21</w:t>
      </w:r>
      <w:r>
        <w:rPr>
          <w:color w:val="6B7280"/>
          <w:sz w:val="20"/>
          <w:szCs w:val="20"/>
        </w:rPr>
        <w:t xml:space="preserve">  |  Conviction: Medium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The world's dominant advanced-node contract chip foundry; nearly every advanced chip in this book depends on TSMC or TSMC-adjacent capacity.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A way to own the AI-infrastructure buildout without betting on any single chip designer winning the architecture race.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Geopolitical risk around Taiwan is real and not something that can be sized away — a structural risk sitting underneath the whole position.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A sizing framework comfortable for the geopolitical tail risk specifically, separate from normal IPS position-cap math.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39.3 (fwd 22.77)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18.02x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1.55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0.81%</w:t>
      </w:r>
    </w:p>
    <w:p>
      <w:pPr>
        <w:pStyle w:val="Heading2"/>
        <w:spacing w:after="80" w:before="200"/>
      </w:pPr>
      <w:r>
        <w:t xml:space="preserve">Semiconductor equipment</w:t>
      </w:r>
    </w:p>
    <w:p>
      <w:pPr>
        <w:pStyle w:val="Heading2"/>
        <w:spacing w:after="60" w:before="300"/>
      </w:pPr>
      <w:r>
        <w:rPr>
          <w:b/>
          <w:bCs/>
        </w:rPr>
        <w:t xml:space="preserve">ASML</w:t>
      </w:r>
      <w:r>
        <w:t xml:space="preserve">  —  ASML Holding N.V.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Semiconductor equipment</w:t>
      </w:r>
      <w:r>
        <w:rPr>
          <w:color w:val="6B7280"/>
          <w:sz w:val="20"/>
          <w:szCs w:val="20"/>
        </w:rPr>
        <w:t xml:space="preserve">  |  Price: $1,801.86</w:t>
      </w:r>
      <w:r>
        <w:rPr>
          <w:color w:val="6B7280"/>
          <w:sz w:val="20"/>
          <w:szCs w:val="20"/>
        </w:rPr>
        <w:t xml:space="preserve">  |  Conviction: Medium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Sole global supplier of extreme ultraviolet (EUV) lithography machines — equipment TSMC and every leading-edge foundry needs.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Arguably a more defensible monopoly than any single chip designer, since there's no second source for EUV lithography.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European listing/ADR structure and a very high absolute share price make position sizing less intuitive; valuation homework not yet done against U.S.-listed comps.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Doing the valuation homework properly rather than avoiding it because the ticker is unfamiliar.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58.18 (trailing 54.53)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N/A — not disclosed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2.69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0.46%</w:t>
      </w:r>
    </w:p>
    <w:p>
      <w:pPr>
        <w:pStyle w:val="Heading2"/>
        <w:spacing w:after="80" w:before="200"/>
      </w:pPr>
      <w:r>
        <w:t xml:space="preserve">Enterprise software / cloud</w:t>
      </w:r>
    </w:p>
    <w:p>
      <w:pPr>
        <w:pStyle w:val="Heading2"/>
        <w:spacing w:after="60" w:before="300"/>
      </w:pPr>
      <w:r>
        <w:rPr>
          <w:b/>
          <w:bCs/>
        </w:rPr>
        <w:t xml:space="preserve">ORCL</w:t>
      </w:r>
      <w:r>
        <w:t xml:space="preserve">  —  Oracle Corp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Enterprise software / cloud</w:t>
      </w:r>
      <w:r>
        <w:rPr>
          <w:color w:val="6B7280"/>
          <w:sz w:val="20"/>
          <w:szCs w:val="20"/>
        </w:rPr>
        <w:t xml:space="preserve">  |  Price: $125.84</w:t>
      </w:r>
      <w:r>
        <w:rPr>
          <w:color w:val="6B7280"/>
          <w:sz w:val="20"/>
          <w:szCs w:val="20"/>
        </w:rPr>
        <w:t xml:space="preserve">  |  Conviction: Low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Legacy enterprise database vendor whose cloud infrastructure business (OCI) has become a real AI-capacity story.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OCI is landing large compute contracts that read a lot like the deals NBIS and CRWV sign — but backed by decades of enterprise database cash flow.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No clean read yet on how much of Oracle's re-rating is durable OCI growth versus enthusiasm carrying over from the broader AI-capex narrative.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A quarter where OCI revenue growth and backlog disclosures allow underwriting the capacity story independent of broader sentiment.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24.08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N/A — not disclosed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1.23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1.43%</w:t>
      </w:r>
    </w:p>
    <w:p>
      <w:pPr>
        <w:pStyle w:val="Heading2"/>
        <w:spacing w:after="80" w:before="200"/>
      </w:pPr>
      <w:r>
        <w:t xml:space="preserve">Data center / GPU cloud</w:t>
      </w:r>
    </w:p>
    <w:p>
      <w:pPr>
        <w:pStyle w:val="Heading2"/>
        <w:spacing w:after="60" w:before="300"/>
      </w:pPr>
      <w:r>
        <w:rPr>
          <w:b/>
          <w:bCs/>
        </w:rPr>
        <w:t xml:space="preserve">APLD</w:t>
      </w:r>
      <w:r>
        <w:t xml:space="preserve">  —  Applied Digital Corp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Data center / GPU cloud</w:t>
      </w:r>
      <w:r>
        <w:rPr>
          <w:color w:val="6B7280"/>
          <w:sz w:val="20"/>
          <w:szCs w:val="20"/>
        </w:rPr>
        <w:t xml:space="preserve">  |  Price: $30.08</w:t>
      </w:r>
      <w:r>
        <w:rPr>
          <w:color w:val="6B7280"/>
          <w:sz w:val="20"/>
          <w:szCs w:val="20"/>
        </w:rPr>
        <w:t xml:space="preserve">  |  Conviction: Low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Builds GPU-cloud and data-center capacity for AI workloads — the same basic business as NBIS and CRWV at a much smaller market cap.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A smaller, earlier-stage way to express more conviction in the AI-infrastructure buildout thesis.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More execution/financing risk than NBIS or CRWV, and already meaningfully weighted in this exact theme once NBIS+NBIL+CRWV are combined.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Trimming or a thesis break in an existing AI-infrastructure name that frees room without breaching the clustering risk already flagged.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n/m (unprofitable)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N/A — not disclosed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N/A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None</w:t>
      </w:r>
    </w:p>
    <w:p>
      <w:pPr>
        <w:pStyle w:val="Heading2"/>
        <w:spacing w:after="80" w:before="200"/>
      </w:pPr>
      <w:r>
        <w:t xml:space="preserve">Enterprise / government AI software</w:t>
      </w:r>
    </w:p>
    <w:p>
      <w:pPr>
        <w:pStyle w:val="Heading2"/>
        <w:spacing w:after="60" w:before="300"/>
      </w:pPr>
      <w:r>
        <w:rPr>
          <w:b/>
          <w:bCs/>
        </w:rPr>
        <w:t xml:space="preserve">PLTR</w:t>
      </w:r>
      <w:r>
        <w:t xml:space="preserve">  —  Palantir Technologies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Enterprise / government AI software</w:t>
      </w:r>
      <w:r>
        <w:rPr>
          <w:color w:val="6B7280"/>
          <w:sz w:val="20"/>
          <w:szCs w:val="20"/>
        </w:rPr>
        <w:t xml:space="preserve">  |  Price: $124.57</w:t>
      </w:r>
      <w:r>
        <w:rPr>
          <w:color w:val="6B7280"/>
          <w:sz w:val="20"/>
          <w:szCs w:val="20"/>
        </w:rPr>
        <w:t xml:space="preserve">  |  Conviction: Low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Government and enterprise data-analysis software with genuinely sticky renewal rates and contract expansion.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Renewal rates and contract expansion suggest real product lock-in, not just a good AI story.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Valuation prices in years of continued hypergrowth; no version of the bull case yet where being wrong only about the multiple, not the growth rate, is comfortable.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Meaningful multiple compression not accompanied by a deceleration in underlying government/commercial contract growth.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149.32 (fwd 73.85)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147.10x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1.58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None</w:t>
      </w:r>
    </w:p>
    <w:p>
      <w:pPr>
        <w:pStyle w:val="Heading2"/>
        <w:spacing w:after="80" w:before="200"/>
      </w:pPr>
      <w:r>
        <w:t xml:space="preserve">Enterprise CRM / AI software</w:t>
      </w:r>
    </w:p>
    <w:p>
      <w:pPr>
        <w:pStyle w:val="Heading2"/>
        <w:spacing w:after="60" w:before="300"/>
      </w:pPr>
      <w:r>
        <w:rPr>
          <w:b/>
          <w:bCs/>
        </w:rPr>
        <w:t xml:space="preserve">CRM</w:t>
      </w:r>
      <w:r>
        <w:t xml:space="preserve">  —  Salesforce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Enterprise CRM / AI software</w:t>
      </w:r>
      <w:r>
        <w:rPr>
          <w:color w:val="6B7280"/>
          <w:sz w:val="20"/>
          <w:szCs w:val="20"/>
        </w:rPr>
        <w:t xml:space="preserve">  |  Price: $163.00</w:t>
      </w:r>
      <w:r>
        <w:rPr>
          <w:color w:val="6B7280"/>
          <w:sz w:val="20"/>
          <w:szCs w:val="20"/>
        </w:rPr>
        <w:t xml:space="preserve">  |  Conviction: Low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Dominant enterprise CRM vendor betting its next growth leg on Agentforce, its AI-agent product layered onto the existing install base.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A way to own enterprise AI adoption through a company with an already-massive, sticky customer base.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AI-agent products across software are still early; not enough usage/retention data to distinguish real adoption from a good demo.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Management disclosing real Agentforce usage and revenue-attach metrics, not just deal-count announcements.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17.6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12.93x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0.32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1.06%</w:t>
      </w:r>
    </w:p>
    <w:p>
      <w:pPr>
        <w:pStyle w:val="Heading2"/>
        <w:spacing w:after="80" w:before="200"/>
      </w:pPr>
      <w:r>
        <w:t xml:space="preserve">Mobility / network platform</w:t>
      </w:r>
    </w:p>
    <w:p>
      <w:pPr>
        <w:pStyle w:val="Heading2"/>
        <w:spacing w:after="60" w:before="300"/>
      </w:pPr>
      <w:r>
        <w:rPr>
          <w:b/>
          <w:bCs/>
        </w:rPr>
        <w:t xml:space="preserve">UBER</w:t>
      </w:r>
      <w:r>
        <w:t xml:space="preserve">  —  Uber Technologies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Mobility / network platform</w:t>
      </w:r>
      <w:r>
        <w:rPr>
          <w:color w:val="6B7280"/>
          <w:sz w:val="20"/>
          <w:szCs w:val="20"/>
        </w:rPr>
        <w:t xml:space="preserve">  |  Price: $70.33</w:t>
      </w:r>
      <w:r>
        <w:rPr>
          <w:color w:val="6B7280"/>
          <w:sz w:val="20"/>
          <w:szCs w:val="20"/>
        </w:rPr>
        <w:t xml:space="preserve">  |  Conviction: Low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Global ride-share and delivery network platform that has turned the corner into real free cash flow generation, with AV partnerships giving optionality.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A genuine network-effect business with real FCF and AV optionality without needing to bet on any single AV company winning.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A different kind of business than almost everything else in the book; not enough unit-economics homework done yet.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Doing the ride-share/delivery unit-economics homework, and a valuation reflecting the current cash-flow profile.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17.68 (fwd 22.22)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N/A — not disclosed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6.03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None</w:t>
      </w:r>
    </w:p>
    <w:p>
      <w:pPr>
        <w:pStyle w:val="Heading2"/>
        <w:spacing w:after="80" w:before="200"/>
      </w:pPr>
      <w:r>
        <w:t xml:space="preserve">Crypto exchange / infrastructure</w:t>
      </w:r>
    </w:p>
    <w:p>
      <w:pPr>
        <w:pStyle w:val="Heading2"/>
        <w:spacing w:after="60" w:before="300"/>
      </w:pPr>
      <w:r>
        <w:rPr>
          <w:b/>
          <w:bCs/>
        </w:rPr>
        <w:t xml:space="preserve">COIN</w:t>
      </w:r>
      <w:r>
        <w:t xml:space="preserve">  —  Coinbase Global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Crypto exchange / infrastructure</w:t>
      </w:r>
      <w:r>
        <w:rPr>
          <w:color w:val="6B7280"/>
          <w:sz w:val="20"/>
          <w:szCs w:val="20"/>
        </w:rPr>
        <w:t xml:space="preserve">  |  Price: $166.12</w:t>
      </w:r>
      <w:r>
        <w:rPr>
          <w:color w:val="6B7280"/>
          <w:sz w:val="20"/>
          <w:szCs w:val="20"/>
        </w:rPr>
        <w:t xml:space="preserve">  |  Conviction: Low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Primary regulated on-ramp for crypto in the U.S., with revenue still heavily tied to trading volume and crypto-price volatility.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A way to own the crypto infrastructure layer around the existing BTC/ETH exposure carried elsewhere.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Revenue is closer to adding leveraged crypto-sentiment risk than to spreading it, given trading-volume dependence.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Continued growth in non-trading revenue (subscriptions, custody, stablecoin infrastructure) reducing correlation to raw trading volume.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54.25–57.60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18.25x–40.88x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3.26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None</w:t>
      </w:r>
    </w:p>
    <w:p>
      <w:pPr>
        <w:pStyle w:val="Heading2"/>
        <w:spacing w:after="80" w:before="200"/>
      </w:pPr>
      <w:r>
        <w:t xml:space="preserve">Quantum computing</w:t>
      </w:r>
    </w:p>
    <w:p>
      <w:pPr>
        <w:pStyle w:val="Heading2"/>
        <w:spacing w:after="60" w:before="300"/>
      </w:pPr>
      <w:r>
        <w:rPr>
          <w:b/>
          <w:bCs/>
        </w:rPr>
        <w:t xml:space="preserve">IONQ</w:t>
      </w:r>
      <w:r>
        <w:t xml:space="preserve">  —  IonQ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Quantum computing</w:t>
      </w:r>
      <w:r>
        <w:rPr>
          <w:color w:val="6B7280"/>
          <w:sz w:val="20"/>
          <w:szCs w:val="20"/>
        </w:rPr>
        <w:t xml:space="preserve">  |  Price: $34.68</w:t>
      </w:r>
      <w:r>
        <w:rPr>
          <w:color w:val="6B7280"/>
          <w:sz w:val="20"/>
          <w:szCs w:val="20"/>
        </w:rPr>
        <w:t xml:space="preserve">  |  Conviction: Low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One of the more credible pure-play public quantum computing companies.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A genuine long-horizon technology bet — the kind of small, speculative, real-optionality position the speculative sleeve is built for.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Pre-revenue-at-scale, story-driven investing; the speculative sleeve is already at 6.5% (RKLB, WYFI, SPCX, TEM) — a fifth deeply speculative name isn't the right next move yet.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Room opening up in the speculative sleeve, or a clear commercial milestone (a real paying enterprise customer, not just a research partnership).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69.5x (recently turned positive)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N/A — not disclosed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0.55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None</w:t>
      </w:r>
    </w:p>
    <w:p>
      <w:pPr>
        <w:pStyle w:val="Heading2"/>
        <w:spacing w:after="80" w:before="200"/>
      </w:pPr>
      <w:r>
        <w:t xml:space="preserve">Cloud / enterprise AI</w:t>
      </w:r>
    </w:p>
    <w:p>
      <w:pPr>
        <w:pStyle w:val="Heading2"/>
        <w:spacing w:after="60" w:before="300"/>
      </w:pPr>
      <w:r>
        <w:rPr>
          <w:b/>
          <w:bCs/>
        </w:rPr>
        <w:t xml:space="preserve">MSFT</w:t>
      </w:r>
      <w:r>
        <w:t xml:space="preserve">  —  Microsoft Corp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Cloud / enterprise AI</w:t>
      </w:r>
      <w:r>
        <w:rPr>
          <w:color w:val="6B7280"/>
          <w:sz w:val="20"/>
          <w:szCs w:val="20"/>
        </w:rPr>
        <w:t xml:space="preserve">  |  Price: $390.34</w:t>
      </w:r>
      <w:r>
        <w:rPr>
          <w:color w:val="6B7280"/>
          <w:sz w:val="20"/>
          <w:szCs w:val="20"/>
        </w:rPr>
        <w:t xml:space="preserve">  |  Conviction: Medium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Azure hyperscaler cloud plus enterprise AI via Copilot and the OpenAI partnership.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A direct beneficiary of enterprise AI adoption, and zero direct hyperscaler exposure exists despite AI infrastructure being the largest thematic bet in the book.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The single most 'obvious' AI mega-cap trade, priced accordingly, and would partially duplicate cloud-capex exposure already carried indirectly through NBIS/CRWV.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A valuation reset, or a catalyst that separates Azure's AI-driven growth from the broad mega-cap multiple.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23.16 (fwd 21.00)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N/A — not disclosed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1.33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0.95%</w:t>
      </w:r>
    </w:p>
    <w:p>
      <w:pPr>
        <w:pStyle w:val="Heading2"/>
        <w:spacing w:after="80" w:before="200"/>
      </w:pPr>
      <w:r>
        <w:t xml:space="preserve">E-commerce / cloud (AWS)</w:t>
      </w:r>
    </w:p>
    <w:p>
      <w:pPr>
        <w:pStyle w:val="Heading2"/>
        <w:spacing w:after="60" w:before="300"/>
      </w:pPr>
      <w:r>
        <w:rPr>
          <w:b/>
          <w:bCs/>
        </w:rPr>
        <w:t xml:space="preserve">AMZN</w:t>
      </w:r>
      <w:r>
        <w:t xml:space="preserve">  —  Amazon.com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E-commerce / cloud (AWS)</w:t>
      </w:r>
      <w:r>
        <w:rPr>
          <w:color w:val="6B7280"/>
          <w:sz w:val="20"/>
          <w:szCs w:val="20"/>
        </w:rPr>
        <w:t xml:space="preserve">  |  Price: $248.45</w:t>
      </w:r>
      <w:r>
        <w:rPr>
          <w:color w:val="6B7280"/>
          <w:sz w:val="20"/>
          <w:szCs w:val="20"/>
        </w:rPr>
        <w:t xml:space="preserve">  |  Conviction: Medium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AWS is the largest cloud infrastructure provider; also owns the world's largest e-commerce/logistics operation.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AWS directly comparable to the power-purchase-agreement theme already in the book — AWS itself signed the 1.9 GW nuclear PPA central to the TLN thesis.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AWS is one segment of a much larger, slower-growing retail/logistics conglomerate, diluting the clean AI-infrastructure thesis.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More visibility into AWS's standalone growth and margin trajectory, separated from the retail business's lower-margin economics.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29.00 (trailing 31.21)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18.72x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1.47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None</w:t>
      </w:r>
    </w:p>
    <w:p>
      <w:pPr>
        <w:pStyle w:val="Heading2"/>
        <w:spacing w:after="80" w:before="200"/>
      </w:pPr>
      <w:r>
        <w:t xml:space="preserve">Consumer hardware / services</w:t>
      </w:r>
    </w:p>
    <w:p>
      <w:pPr>
        <w:pStyle w:val="Heading2"/>
        <w:spacing w:after="60" w:before="300"/>
      </w:pPr>
      <w:r>
        <w:rPr>
          <w:b/>
          <w:bCs/>
        </w:rPr>
        <w:t xml:space="preserve">AAPL</w:t>
      </w:r>
      <w:r>
        <w:t xml:space="preserve">  —  Apple Inc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Consumer hardware / services</w:t>
      </w:r>
      <w:r>
        <w:rPr>
          <w:color w:val="6B7280"/>
          <w:sz w:val="20"/>
          <w:szCs w:val="20"/>
        </w:rPr>
        <w:t xml:space="preserve">  |  Price: $325.89</w:t>
      </w:r>
      <w:r>
        <w:rPr>
          <w:color w:val="6B7280"/>
          <w:sz w:val="20"/>
          <w:szCs w:val="20"/>
        </w:rPr>
        <w:t xml:space="preserve">  |  Conviction: Low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Consumer hardware and services ecosystem, now directly tied to the Intel foundry turnaround via the June 2026 Apple-Intel manufacturing deal.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Apple's tie to the Intel foundry turnaround thesis — already the book's best-performing position — is a way to play the other side of that relationship.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Apple's own AI story (Apple Intelligence) has been the market's biggest source of skepticism about execution.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Clearer evidence Apple's own AI strategy is working, not just its manufacturing diversification into domestic foundry capacity.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37.23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28.39x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2.68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0.33%</w:t>
      </w:r>
    </w:p>
    <w:p>
      <w:pPr>
        <w:pStyle w:val="Heading2"/>
        <w:spacing w:after="80" w:before="200"/>
      </w:pPr>
      <w:r>
        <w:t xml:space="preserve">AI server manufacturing</w:t>
      </w:r>
    </w:p>
    <w:p>
      <w:pPr>
        <w:pStyle w:val="Heading2"/>
        <w:spacing w:after="60" w:before="300"/>
      </w:pPr>
      <w:r>
        <w:rPr>
          <w:b/>
          <w:bCs/>
        </w:rPr>
        <w:t xml:space="preserve">SMCI</w:t>
      </w:r>
      <w:r>
        <w:t xml:space="preserve">  —  Super Micro Computer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AI server manufacturing</w:t>
      </w:r>
      <w:r>
        <w:rPr>
          <w:color w:val="6B7280"/>
          <w:sz w:val="20"/>
          <w:szCs w:val="20"/>
        </w:rPr>
        <w:t xml:space="preserve">  |  Price: $30.56</w:t>
      </w:r>
      <w:r>
        <w:rPr>
          <w:color w:val="6B7280"/>
          <w:sz w:val="20"/>
          <w:szCs w:val="20"/>
        </w:rPr>
        <w:t xml:space="preserve">  |  Conviction: Low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Builds the physical servers that house the GPUs everyone else in this book chases exposure to — a picks-and-shovels-of-picks-and-shovels business.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One level removed from NVIDIA itself in the AI hardware supply chain.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Real history of accounting/governance controversy; margins volatile and thin even as revenue grows at a triple-digit annual pace.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A longer track record of clean, timely financial reporting alongside the growth.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16.10–20.13 (fwd 10.38)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N/A — not disclosed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0.27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None</w:t>
      </w:r>
    </w:p>
    <w:p>
      <w:pPr>
        <w:pStyle w:val="Heading2"/>
        <w:spacing w:after="80" w:before="200"/>
      </w:pPr>
      <w:r>
        <w:t xml:space="preserve">Custom AI silicon / networking</w:t>
      </w:r>
    </w:p>
    <w:p>
      <w:pPr>
        <w:pStyle w:val="Heading2"/>
        <w:spacing w:after="60" w:before="300"/>
      </w:pPr>
      <w:r>
        <w:rPr>
          <w:b/>
          <w:bCs/>
        </w:rPr>
        <w:t xml:space="preserve">MRVL</w:t>
      </w:r>
      <w:r>
        <w:t xml:space="preserve">  —  Marvell Technology</w:t>
      </w:r>
    </w:p>
    <w:p>
      <w:pPr>
        <w:spacing w:after="120"/>
      </w:pPr>
      <w:r>
        <w:rPr>
          <w:color w:val="6B7280"/>
          <w:sz w:val="20"/>
          <w:szCs w:val="20"/>
        </w:rPr>
        <w:t xml:space="preserve">Status: Watchlist — not held</w:t>
      </w:r>
      <w:r>
        <w:rPr>
          <w:color w:val="6B7280"/>
          <w:sz w:val="20"/>
          <w:szCs w:val="20"/>
        </w:rPr>
        <w:t xml:space="preserve">  |  Sector: Custom AI silicon / networking</w:t>
      </w:r>
      <w:r>
        <w:rPr>
          <w:color w:val="6B7280"/>
          <w:sz w:val="20"/>
          <w:szCs w:val="20"/>
        </w:rPr>
        <w:t xml:space="preserve">  |  Price: $210.99</w:t>
      </w:r>
      <w:r>
        <w:rPr>
          <w:color w:val="6B7280"/>
          <w:sz w:val="20"/>
          <w:szCs w:val="20"/>
        </w:rPr>
        <w:t xml:space="preserve">  |  Conviction: Medium</w:t>
      </w:r>
    </w:p>
    <w:p>
      <w:pPr>
        <w:spacing w:after="80"/>
      </w:pPr>
      <w:r>
        <w:rPr>
          <w:b/>
          <w:bCs/>
          <w:sz w:val="20"/>
          <w:szCs w:val="20"/>
        </w:rPr>
        <w:t xml:space="preserve">Business Description: </w:t>
      </w:r>
      <w:r>
        <w:rPr>
          <w:sz w:val="20"/>
          <w:szCs w:val="20"/>
        </w:rPr>
        <w:t xml:space="preserve">Designs custom AI silicon (ASICs) for hyperscalers as an alternative to off-the-shelf NVIDIA GPUs.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It's on the Watchlist (Thesis): </w:t>
      </w:r>
      <w:r>
        <w:rPr>
          <w:sz w:val="20"/>
          <w:szCs w:val="20"/>
        </w:rPr>
        <w:t xml:space="preserve">A different, complementary bet on the AI-buildout theme than anything else currently in the book.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Why Not Held Yet (Bear/Hurdle): </w:t>
      </w:r>
      <w:r>
        <w:rPr>
          <w:sz w:val="20"/>
          <w:szCs w:val="20"/>
        </w:rPr>
        <w:t xml:space="preserve">Trades at a very rich multiple (80x+ trailing) pricing in a lot of custom-silicon success; low conviction on which hyperscaler programs actually scale.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What Would Move to Buy (Catalyst): </w:t>
      </w:r>
      <w:r>
        <w:rPr>
          <w:sz w:val="20"/>
          <w:szCs w:val="20"/>
        </w:rPr>
        <w:t xml:space="preserve">More disclosed detail on customer concentration and program-specific revenue — the backlog, not just the narrative.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Valuation Snapshot — P/E (TTM): </w:t>
      </w:r>
      <w:r>
        <w:rPr>
          <w:sz w:val="20"/>
          <w:szCs w:val="20"/>
        </w:rPr>
        <w:t xml:space="preserve">83.15 (trailing 84.73, fwd 54.07)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EV/EBITDA: </w:t>
      </w:r>
      <w:r>
        <w:rPr>
          <w:sz w:val="20"/>
          <w:szCs w:val="20"/>
        </w:rPr>
        <w:t xml:space="preserve">N/A — not disclosed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PEG: </w:t>
      </w:r>
      <w:r>
        <w:rPr>
          <w:sz w:val="20"/>
          <w:szCs w:val="20"/>
        </w:rPr>
        <w:t xml:space="preserve">2.63</w:t>
      </w:r>
    </w:p>
    <w:p>
      <w:pPr>
        <w:spacing w:after="80"/>
      </w:pPr>
      <w:r>
        <w:rPr>
          <w:b/>
          <w:bCs/>
          <w:sz w:val="20"/>
          <w:szCs w:val="20"/>
        </w:rPr>
        <w:t xml:space="preserve">Dividend Yield: </w:t>
      </w:r>
      <w:r>
        <w:rPr>
          <w:sz w:val="20"/>
          <w:szCs w:val="20"/>
        </w:rPr>
        <w:t xml:space="preserve">small, quarterly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2026-07-24T14:35:46.289Z</dcterms:created>
  <dcterms:modified xsi:type="dcterms:W3CDTF">2026-07-24T14:35:46.290Z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