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AEA Capital Research</w:t>
      </w:r>
    </w:p>
    <w:p>
      <w:pPr>
        <w:spacing w:after="200"/>
      </w:pPr>
      <w:r>
        <w:rPr>
          <w:b/>
          <w:bCs/>
          <w:color w:val="1F2937"/>
          <w:sz w:val="40"/>
          <w:szCs w:val="40"/>
        </w:rPr>
        <w:t xml:space="preserve">Sector Landscape &amp; Portfolio Overview</w:t>
      </w:r>
    </w:p>
    <w:p>
      <w:pPr>
        <w:spacing w:after="300"/>
      </w:pPr>
      <w:r>
        <w:rPr>
          <w:color w:val="6B7280"/>
          <w:sz w:val="22"/>
          <w:szCs w:val="22"/>
        </w:rPr>
        <w:t xml:space="preserve">Portfolio dashboard, sector-by-sector competitive positioning (held + watchlist), correlation &amp; clustering analysis, macro stress-test scenarios, and the rates/macro backdrop.</w:t>
      </w:r>
    </w:p>
    <w:p>
      <w:pPr>
        <w:spacing w:after="200"/>
      </w:pPr>
      <w:r>
        <w:rPr>
          <w:i/>
          <w:iCs/>
          <w:color w:val="6B7280"/>
          <w:sz w:val="20"/>
          <w:szCs w:val="20"/>
        </w:rPr>
        <w:t xml:space="preserve">Compiled July 24, 2026 from aea-capital-research.haiden1690.workers.dev (holdings.html, thematic-exposure.html, compliance.html, ips.html, performance.html, tearsheet.html) and enriched from the site's existing Portfolio_Sector_Overview.docx.</w:t>
      </w:r>
    </w:p>
    <w:p>
      <w:r>
        <w:br w:type="page"/>
      </w:r>
    </w:p>
    <w:p>
      <w:pPr>
        <w:pStyle w:val="Heading1"/>
        <w:spacing w:after="120" w:before="240"/>
      </w:pPr>
      <w:r>
        <w:t xml:space="preserve">A. Portfolio-Level Dashboard</w:t>
      </w:r>
    </w:p>
    <w:p>
      <w:pPr>
        <w:spacing w:after="100"/>
      </w:pPr>
      <w:r>
        <w:rPr>
          <w:sz w:val="21"/>
          <w:szCs w:val="21"/>
        </w:rPr>
        <w:t xml:space="preserve">As of July 22–24, 2026. 32 positions across 10 sectors. Source: Holdings page, Blossom-verified.</w:t>
      </w:r>
    </w:p>
    <w:p>
      <w:pPr>
        <w:pStyle w:val="Heading2"/>
        <w:spacing w:after="120" w:before="240"/>
      </w:pPr>
      <w:r>
        <w:t xml:space="preserve">Headline Risk &amp; Return Metrics</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4500"/>
        <w:gridCol w:w="5100"/>
      </w:tblGrid>
      <w:tr>
        <w:trPr>
          <w:tblHeader/>
        </w:trPr>
        <w:tc>
          <w:tcPr>
            <w:tcW w:type="dxa" w:w="4500"/>
            <w:shd w:fill="1F2937" w:val="clear"/>
            <w:tcMar>
              <w:top w:type="dxa" w:w="60"/>
              <w:left w:type="dxa" w:w="100"/>
              <w:bottom w:type="dxa" w:w="60"/>
              <w:right w:type="dxa" w:w="100"/>
            </w:tcMar>
            <w:vAlign w:val="center"/>
          </w:tcPr>
          <w:p>
            <w:r>
              <w:rPr>
                <w:b/>
                <w:bCs/>
                <w:color w:val="FFFFFF"/>
                <w:sz w:val="18"/>
                <w:szCs w:val="18"/>
              </w:rPr>
              <w:t xml:space="preserve">Metric</w:t>
            </w:r>
          </w:p>
        </w:tc>
        <w:tc>
          <w:tcPr>
            <w:tcW w:type="dxa" w:w="5100"/>
            <w:shd w:fill="1F2937" w:val="clear"/>
            <w:tcMar>
              <w:top w:type="dxa" w:w="60"/>
              <w:left w:type="dxa" w:w="100"/>
              <w:bottom w:type="dxa" w:w="60"/>
              <w:right w:type="dxa" w:w="100"/>
            </w:tcMar>
            <w:vAlign w:val="center"/>
          </w:tcPr>
          <w:p>
            <w:r>
              <w:rPr>
                <w:b/>
                <w:bCs/>
                <w:color w:val="FFFFFF"/>
                <w:sz w:val="18"/>
                <w:szCs w:val="18"/>
              </w:rPr>
              <w:t xml:space="preserve">Value</w:t>
            </w:r>
          </w:p>
        </w:tc>
      </w:tr>
      <w:tr>
        <w:tc>
          <w:tcPr>
            <w:tcW w:type="dxa" w:w="4500"/>
            <w:tcMar>
              <w:top w:type="dxa" w:w="60"/>
              <w:left w:type="dxa" w:w="100"/>
              <w:bottom w:type="dxa" w:w="60"/>
              <w:right w:type="dxa" w:w="100"/>
            </w:tcMar>
            <w:vAlign w:val="center"/>
          </w:tcPr>
          <w:p>
            <w:r>
              <w:rPr>
                <w:b w:val="false"/>
                <w:bCs w:val="false"/>
                <w:color w:val="000000"/>
                <w:sz w:val="18"/>
                <w:szCs w:val="18"/>
              </w:rPr>
              <w:t xml:space="preserve">Portfolio Beta (vs SPY)</w:t>
            </w:r>
          </w:p>
        </w:tc>
        <w:tc>
          <w:tcPr>
            <w:tcW w:type="dxa" w:w="5100"/>
            <w:tcMar>
              <w:top w:type="dxa" w:w="60"/>
              <w:left w:type="dxa" w:w="100"/>
              <w:bottom w:type="dxa" w:w="60"/>
              <w:right w:type="dxa" w:w="100"/>
            </w:tcMar>
            <w:vAlign w:val="center"/>
          </w:tcPr>
          <w:p>
            <w:r>
              <w:rPr>
                <w:b w:val="false"/>
                <w:bCs w:val="false"/>
                <w:color w:val="000000"/>
                <w:sz w:val="18"/>
                <w:szCs w:val="18"/>
              </w:rPr>
              <w:t xml:space="preserve">1.79</w:t>
            </w:r>
          </w:p>
        </w:tc>
      </w:tr>
      <w:tr>
        <w:tc>
          <w:tcPr>
            <w:tcW w:type="dxa" w:w="4500"/>
            <w:tcMar>
              <w:top w:type="dxa" w:w="60"/>
              <w:left w:type="dxa" w:w="100"/>
              <w:bottom w:type="dxa" w:w="60"/>
              <w:right w:type="dxa" w:w="100"/>
            </w:tcMar>
            <w:vAlign w:val="center"/>
          </w:tcPr>
          <w:p>
            <w:r>
              <w:rPr>
                <w:b w:val="false"/>
                <w:bCs w:val="false"/>
                <w:color w:val="000000"/>
                <w:sz w:val="18"/>
                <w:szCs w:val="18"/>
              </w:rPr>
              <w:t xml:space="preserve">All-Time Return (dollar-weighted, since 2022 inception)</w:t>
            </w:r>
          </w:p>
        </w:tc>
        <w:tc>
          <w:tcPr>
            <w:tcW w:type="dxa" w:w="5100"/>
            <w:tcMar>
              <w:top w:type="dxa" w:w="60"/>
              <w:left w:type="dxa" w:w="100"/>
              <w:bottom w:type="dxa" w:w="60"/>
              <w:right w:type="dxa" w:w="100"/>
            </w:tcMar>
            <w:vAlign w:val="center"/>
          </w:tcPr>
          <w:p>
            <w:r>
              <w:rPr>
                <w:b w:val="false"/>
                <w:bCs w:val="false"/>
                <w:color w:val="000000"/>
                <w:sz w:val="18"/>
                <w:szCs w:val="18"/>
              </w:rPr>
              <w:t xml:space="preserve">+72.14%</w:t>
            </w:r>
          </w:p>
        </w:tc>
      </w:tr>
      <w:tr>
        <w:tc>
          <w:tcPr>
            <w:tcW w:type="dxa" w:w="4500"/>
            <w:tcMar>
              <w:top w:type="dxa" w:w="60"/>
              <w:left w:type="dxa" w:w="100"/>
              <w:bottom w:type="dxa" w:w="60"/>
              <w:right w:type="dxa" w:w="100"/>
            </w:tcMar>
            <w:vAlign w:val="center"/>
          </w:tcPr>
          <w:p>
            <w:r>
              <w:rPr>
                <w:b w:val="false"/>
                <w:bCs w:val="false"/>
                <w:color w:val="000000"/>
                <w:sz w:val="18"/>
                <w:szCs w:val="18"/>
              </w:rPr>
              <w:t xml:space="preserve">Weighted Dividend Yield</w:t>
            </w:r>
          </w:p>
        </w:tc>
        <w:tc>
          <w:tcPr>
            <w:tcW w:type="dxa" w:w="5100"/>
            <w:tcMar>
              <w:top w:type="dxa" w:w="60"/>
              <w:left w:type="dxa" w:w="100"/>
              <w:bottom w:type="dxa" w:w="60"/>
              <w:right w:type="dxa" w:w="100"/>
            </w:tcMar>
            <w:vAlign w:val="center"/>
          </w:tcPr>
          <w:p>
            <w:r>
              <w:rPr>
                <w:b w:val="false"/>
                <w:bCs w:val="false"/>
                <w:color w:val="000000"/>
                <w:sz w:val="18"/>
                <w:szCs w:val="18"/>
              </w:rPr>
              <w:t xml:space="preserve">0.24%</w:t>
            </w:r>
          </w:p>
        </w:tc>
      </w:tr>
      <w:tr>
        <w:tc>
          <w:tcPr>
            <w:tcW w:type="dxa" w:w="4500"/>
            <w:tcMar>
              <w:top w:type="dxa" w:w="60"/>
              <w:left w:type="dxa" w:w="100"/>
              <w:bottom w:type="dxa" w:w="60"/>
              <w:right w:type="dxa" w:w="100"/>
            </w:tcMar>
            <w:vAlign w:val="center"/>
          </w:tcPr>
          <w:p>
            <w:r>
              <w:rPr>
                <w:b w:val="false"/>
                <w:bCs w:val="false"/>
                <w:color w:val="000000"/>
                <w:sz w:val="18"/>
                <w:szCs w:val="18"/>
              </w:rPr>
              <w:t xml:space="preserve">Herfindahl-Hirschman Index (HHI)</w:t>
            </w:r>
          </w:p>
        </w:tc>
        <w:tc>
          <w:tcPr>
            <w:tcW w:type="dxa" w:w="5100"/>
            <w:tcMar>
              <w:top w:type="dxa" w:w="60"/>
              <w:left w:type="dxa" w:w="100"/>
              <w:bottom w:type="dxa" w:w="60"/>
              <w:right w:type="dxa" w:w="100"/>
            </w:tcMar>
            <w:vAlign w:val="center"/>
          </w:tcPr>
          <w:p>
            <w:r>
              <w:rPr>
                <w:b w:val="false"/>
                <w:bCs w:val="false"/>
                <w:color w:val="000000"/>
                <w:sz w:val="18"/>
                <w:szCs w:val="18"/>
              </w:rPr>
              <w:t xml:space="preserve">515 (unconcentrated by single-position sizing)</w:t>
            </w:r>
          </w:p>
        </w:tc>
      </w:tr>
      <w:tr>
        <w:tc>
          <w:tcPr>
            <w:tcW w:type="dxa" w:w="4500"/>
            <w:tcMar>
              <w:top w:type="dxa" w:w="60"/>
              <w:left w:type="dxa" w:w="100"/>
              <w:bottom w:type="dxa" w:w="60"/>
              <w:right w:type="dxa" w:w="100"/>
            </w:tcMar>
            <w:vAlign w:val="center"/>
          </w:tcPr>
          <w:p>
            <w:r>
              <w:rPr>
                <w:b w:val="false"/>
                <w:bCs w:val="false"/>
                <w:color w:val="000000"/>
                <w:sz w:val="18"/>
                <w:szCs w:val="18"/>
              </w:rPr>
              <w:t xml:space="preserve">Effective Number of Positions</w:t>
            </w:r>
          </w:p>
        </w:tc>
        <w:tc>
          <w:tcPr>
            <w:tcW w:type="dxa" w:w="5100"/>
            <w:tcMar>
              <w:top w:type="dxa" w:w="60"/>
              <w:left w:type="dxa" w:w="100"/>
              <w:bottom w:type="dxa" w:w="60"/>
              <w:right w:type="dxa" w:w="100"/>
            </w:tcMar>
            <w:vAlign w:val="center"/>
          </w:tcPr>
          <w:p>
            <w:r>
              <w:rPr>
                <w:b w:val="false"/>
                <w:bCs w:val="false"/>
                <w:color w:val="000000"/>
                <w:sz w:val="18"/>
                <w:szCs w:val="18"/>
              </w:rPr>
              <w:t xml:space="preserve">~19 of 32</w:t>
            </w:r>
          </w:p>
        </w:tc>
      </w:tr>
      <w:tr>
        <w:tc>
          <w:tcPr>
            <w:tcW w:type="dxa" w:w="4500"/>
            <w:tcMar>
              <w:top w:type="dxa" w:w="60"/>
              <w:left w:type="dxa" w:w="100"/>
              <w:bottom w:type="dxa" w:w="60"/>
              <w:right w:type="dxa" w:w="100"/>
            </w:tcMar>
            <w:vAlign w:val="center"/>
          </w:tcPr>
          <w:p>
            <w:r>
              <w:rPr>
                <w:b w:val="false"/>
                <w:bCs w:val="false"/>
                <w:color w:val="000000"/>
                <w:sz w:val="18"/>
                <w:szCs w:val="18"/>
              </w:rPr>
              <w:t xml:space="preserve">Largest Single Sector</w:t>
            </w:r>
          </w:p>
        </w:tc>
        <w:tc>
          <w:tcPr>
            <w:tcW w:type="dxa" w:w="5100"/>
            <w:tcMar>
              <w:top w:type="dxa" w:w="60"/>
              <w:left w:type="dxa" w:w="100"/>
              <w:bottom w:type="dxa" w:w="60"/>
              <w:right w:type="dxa" w:w="100"/>
            </w:tcMar>
            <w:vAlign w:val="center"/>
          </w:tcPr>
          <w:p>
            <w:r>
              <w:rPr>
                <w:b w:val="false"/>
                <w:bCs w:val="false"/>
                <w:color w:val="000000"/>
                <w:sz w:val="18"/>
                <w:szCs w:val="18"/>
              </w:rPr>
              <w:t>Semiconductors, 28.50%</w:t>
            </w:r>
          </w:p>
        </w:tc>
      </w:tr>
      <w:tr>
        <w:tc>
          <w:tcPr>
            <w:tcW w:type="dxa" w:w="4500"/>
            <w:tcMar>
              <w:top w:type="dxa" w:w="60"/>
              <w:left w:type="dxa" w:w="100"/>
              <w:bottom w:type="dxa" w:w="60"/>
              <w:right w:type="dxa" w:w="100"/>
            </w:tcMar>
            <w:vAlign w:val="center"/>
          </w:tcPr>
          <w:p>
            <w:r>
              <w:rPr>
                <w:b w:val="false"/>
                <w:bCs w:val="false"/>
                <w:color w:val="000000"/>
                <w:sz w:val="18"/>
                <w:szCs w:val="18"/>
              </w:rPr>
              <w:t xml:space="preserve">Core Bucket Weight</w:t>
            </w:r>
          </w:p>
        </w:tc>
        <w:tc>
          <w:tcPr>
            <w:tcW w:type="dxa" w:w="5100"/>
            <w:tcMar>
              <w:top w:type="dxa" w:w="60"/>
              <w:left w:type="dxa" w:w="100"/>
              <w:bottom w:type="dxa" w:w="60"/>
              <w:right w:type="dxa" w:w="100"/>
            </w:tcMar>
            <w:vAlign w:val="center"/>
          </w:tcPr>
          <w:p>
            <w:r>
              <w:rPr>
                <w:b w:val="false"/>
                <w:bCs w:val="false"/>
                <w:color w:val="000000"/>
                <w:sz w:val="18"/>
                <w:szCs w:val="18"/>
              </w:rPr>
              <w:t xml:space="preserve">61.0%–63.7% (source pages vary by refresh; see note below)</w:t>
            </w:r>
          </w:p>
        </w:tc>
      </w:tr>
      <w:tr>
        <w:tc>
          <w:tcPr>
            <w:tcW w:type="dxa" w:w="4500"/>
            <w:tcMar>
              <w:top w:type="dxa" w:w="60"/>
              <w:left w:type="dxa" w:w="100"/>
              <w:bottom w:type="dxa" w:w="60"/>
              <w:right w:type="dxa" w:w="100"/>
            </w:tcMar>
            <w:vAlign w:val="center"/>
          </w:tcPr>
          <w:p>
            <w:r>
              <w:rPr>
                <w:b w:val="false"/>
                <w:bCs w:val="false"/>
                <w:color w:val="000000"/>
                <w:sz w:val="18"/>
                <w:szCs w:val="18"/>
              </w:rPr>
              <w:t xml:space="preserve">Days to Liquidate 100%</w:t>
            </w:r>
          </w:p>
        </w:tc>
        <w:tc>
          <w:tcPr>
            <w:tcW w:type="dxa" w:w="5100"/>
            <w:tcMar>
              <w:top w:type="dxa" w:w="60"/>
              <w:left w:type="dxa" w:w="100"/>
              <w:bottom w:type="dxa" w:w="60"/>
              <w:right w:type="dxa" w:w="100"/>
            </w:tcMar>
            <w:vAlign w:val="center"/>
          </w:tcPr>
          <w:p>
            <w:r>
              <w:rPr>
                <w:b w:val="false"/>
                <w:bCs w:val="false"/>
                <w:color w:val="000000"/>
                <w:sz w:val="18"/>
                <w:szCs w:val="18"/>
              </w:rPr>
              <w:t xml:space="preserve">1 trading session — all 32 positions liquid, publicly traded, no lockups (SPCX aside, held via private secondary market)</w:t>
            </w:r>
          </w:p>
        </w:tc>
      </w:tr>
      <w:tr>
        <w:tc>
          <w:tcPr>
            <w:tcW w:type="dxa" w:w="4500"/>
            <w:tcMar>
              <w:top w:type="dxa" w:w="60"/>
              <w:left w:type="dxa" w:w="100"/>
              <w:bottom w:type="dxa" w:w="60"/>
              <w:right w:type="dxa" w:w="100"/>
            </w:tcMar>
            <w:vAlign w:val="center"/>
          </w:tcPr>
          <w:p>
            <w:r>
              <w:rPr>
                <w:b w:val="false"/>
                <w:bCs w:val="false"/>
                <w:color w:val="000000"/>
                <w:sz w:val="18"/>
                <w:szCs w:val="18"/>
              </w:rPr>
              <w:t xml:space="preserve">Dry Powder Reserve</w:t>
            </w:r>
          </w:p>
        </w:tc>
        <w:tc>
          <w:tcPr>
            <w:tcW w:type="dxa" w:w="5100"/>
            <w:tcMar>
              <w:top w:type="dxa" w:w="60"/>
              <w:left w:type="dxa" w:w="100"/>
              <w:bottom w:type="dxa" w:w="60"/>
              <w:right w:type="dxa" w:w="100"/>
            </w:tcMar>
            <w:vAlign w:val="center"/>
          </w:tcPr>
          <w:p>
            <w:r>
              <w:rPr>
                <w:b w:val="false"/>
                <w:bCs w:val="false"/>
                <w:color w:val="000000"/>
                <w:sz w:val="18"/>
                <w:szCs w:val="18"/>
              </w:rPr>
              <w:t xml:space="preserve">0.00% — fully invested; ballast is the index-hedge sleeve, not cash</w:t>
            </w:r>
          </w:p>
        </w:tc>
      </w:tr>
    </w:tbl>
    <w:p>
      <w:pPr>
        <w:spacing w:after="100"/>
      </w:pPr>
      <w:r>
        <w:rPr>
          <w:i/>
          <w:iCs/>
          <w:color w:val="6B7280"/>
          <w:sz w:val="18"/>
          <w:szCs w:val="18"/>
        </w:rPr>
        <w:t xml:space="preserve">Note: Holdings page cites Core bucket weight as 61.0% in its risk-metrics panel and 63.7% in its bucket-structure summary elsewhere on the site (consistent with the Tearsheet's 63.7%). Treat 63.7% as the reconciled bucket-structure figure and 61.0% as a risk-panel snapshot that may reflect a different refresh timestamp.</w:t>
      </w:r>
    </w:p>
    <w:p>
      <w:pPr>
        <w:pStyle w:val="Heading2"/>
        <w:spacing w:after="120" w:before="240"/>
      </w:pPr>
      <w:r>
        <w:t xml:space="preserve">Beta Methodology (verbatim)</w:t>
      </w:r>
    </w:p>
    <w:p>
      <w:pPr>
        <w:spacing w:after="100"/>
      </w:pPr>
      <w:r>
        <w:rPr>
          <w:sz w:val="21"/>
          <w:szCs w:val="21"/>
        </w:rPr>
        <w:t xml:space="preserve">"Weekly closing prices for all 32 positions, pulled via Massive Market Data from January 2025 through July 2026 (up to 80 weekly observations per name, fewer for names with shorter trading histories — SPCX, NBIL, WYFI, and CRWV all IPO'd or launched after that window opened). Each position's individual beta is a population-covariance regression of its weekly returns against SPY's weekly returns over the same overlapping period; the 1.79 figure is those 32 individual betas weighted by current allocation %."</w:t>
      </w:r>
    </w:p>
    <w:p>
      <w:pPr>
        <w:pStyle w:val="Heading2"/>
        <w:spacing w:after="120" w:before="240"/>
      </w:pPr>
      <w:r>
        <w:t xml:space="preserve">Sector Exposure</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6500"/>
        <w:gridCol w:w="3100"/>
      </w:tblGrid>
      <w:tr>
        <w:trPr>
          <w:tblHeader/>
        </w:trPr>
        <w:tc>
          <w:tcPr>
            <w:tcW w:type="dxa" w:w="6500"/>
            <w:shd w:fill="1F2937" w:val="clear"/>
            <w:tcMar>
              <w:top w:type="dxa" w:w="60"/>
              <w:left w:type="dxa" w:w="100"/>
              <w:bottom w:type="dxa" w:w="60"/>
              <w:right w:type="dxa" w:w="100"/>
            </w:tcMar>
            <w:vAlign w:val="center"/>
          </w:tcPr>
          <w:p>
            <w:r>
              <w:rPr>
                <w:b/>
                <w:bCs/>
                <w:color w:val="FFFFFF"/>
                <w:sz w:val="18"/>
                <w:szCs w:val="18"/>
              </w:rPr>
              <w:t xml:space="preserve">Sector</w:t>
            </w:r>
          </w:p>
        </w:tc>
        <w:tc>
          <w:tcPr>
            <w:tcW w:type="dxa" w:w="3100"/>
            <w:shd w:fill="1F2937" w:val="clear"/>
            <w:tcMar>
              <w:top w:type="dxa" w:w="60"/>
              <w:left w:type="dxa" w:w="100"/>
              <w:bottom w:type="dxa" w:w="60"/>
              <w:right w:type="dxa" w:w="100"/>
            </w:tcMar>
            <w:vAlign w:val="center"/>
          </w:tcPr>
          <w:p>
            <w:r>
              <w:rPr>
                <w:b/>
                <w:bCs/>
                <w:color w:val="FFFFFF"/>
                <w:sz w:val="18"/>
                <w:szCs w:val="18"/>
              </w:rPr>
              <w:t xml:space="preserve">% of Book</w:t>
            </w:r>
          </w:p>
        </w:tc>
      </w:tr>
      <w:tr>
        <w:tc>
          <w:tcPr>
            <w:tcW w:type="dxa" w:w="6500"/>
            <w:tcMar>
              <w:top w:type="dxa" w:w="60"/>
              <w:left w:type="dxa" w:w="100"/>
              <w:bottom w:type="dxa" w:w="60"/>
              <w:right w:type="dxa" w:w="100"/>
            </w:tcMar>
            <w:vAlign w:val="center"/>
          </w:tcPr>
          <w:p>
            <w:r>
              <w:rPr>
                <w:b w:val="false"/>
                <w:bCs w:val="false"/>
                <w:color w:val="000000"/>
                <w:sz w:val="18"/>
                <w:szCs w:val="18"/>
              </w:rPr>
              <w:t xml:space="preserve">Semiconductors</w:t>
            </w:r>
          </w:p>
        </w:tc>
        <w:tc>
          <w:tcPr>
            <w:tcW w:type="dxa" w:w="3100"/>
            <w:tcMar>
              <w:top w:type="dxa" w:w="60"/>
              <w:left w:type="dxa" w:w="100"/>
              <w:bottom w:type="dxa" w:w="60"/>
              <w:right w:type="dxa" w:w="100"/>
            </w:tcMar>
            <w:vAlign w:val="center"/>
          </w:tcPr>
          <w:p>
            <w:r>
              <w:rPr>
                <w:b w:val="false"/>
                <w:bCs w:val="false"/>
                <w:color w:val="000000"/>
                <w:sz w:val="18"/>
                <w:szCs w:val="18"/>
              </w:rPr>
              <w:t>28.50%</w:t>
            </w:r>
          </w:p>
        </w:tc>
      </w:tr>
      <w:tr>
        <w:tc>
          <w:tcPr>
            <w:tcW w:type="dxa" w:w="6500"/>
            <w:tcMar>
              <w:top w:type="dxa" w:w="60"/>
              <w:left w:type="dxa" w:w="100"/>
              <w:bottom w:type="dxa" w:w="60"/>
              <w:right w:type="dxa" w:w="100"/>
            </w:tcMar>
            <w:vAlign w:val="center"/>
          </w:tcPr>
          <w:p>
            <w:r>
              <w:rPr>
                <w:b w:val="false"/>
                <w:bCs w:val="false"/>
                <w:color w:val="000000"/>
                <w:sz w:val="18"/>
                <w:szCs w:val="18"/>
              </w:rPr>
              <w:t xml:space="preserve">Index Funds</w:t>
            </w:r>
          </w:p>
        </w:tc>
        <w:tc>
          <w:tcPr>
            <w:tcW w:type="dxa" w:w="3100"/>
            <w:tcMar>
              <w:top w:type="dxa" w:w="60"/>
              <w:left w:type="dxa" w:w="100"/>
              <w:bottom w:type="dxa" w:w="60"/>
              <w:right w:type="dxa" w:w="100"/>
            </w:tcMar>
            <w:vAlign w:val="center"/>
          </w:tcPr>
          <w:p>
            <w:r>
              <w:rPr>
                <w:b w:val="false"/>
                <w:bCs w:val="false"/>
                <w:color w:val="000000"/>
                <w:sz w:val="18"/>
                <w:szCs w:val="18"/>
              </w:rPr>
              <w:t xml:space="preserve">18.41%</w:t>
            </w:r>
          </w:p>
        </w:tc>
      </w:tr>
      <w:tr>
        <w:tc>
          <w:tcPr>
            <w:tcW w:type="dxa" w:w="6500"/>
            <w:tcMar>
              <w:top w:type="dxa" w:w="60"/>
              <w:left w:type="dxa" w:w="100"/>
              <w:bottom w:type="dxa" w:w="60"/>
              <w:right w:type="dxa" w:w="100"/>
            </w:tcMar>
            <w:vAlign w:val="center"/>
          </w:tcPr>
          <w:p>
            <w:r>
              <w:rPr>
                <w:b w:val="false"/>
                <w:bCs w:val="false"/>
                <w:color w:val="000000"/>
                <w:sz w:val="18"/>
                <w:szCs w:val="18"/>
              </w:rPr>
              <w:t xml:space="preserve">Communication Services</w:t>
            </w:r>
          </w:p>
        </w:tc>
        <w:tc>
          <w:tcPr>
            <w:tcW w:type="dxa" w:w="3100"/>
            <w:tcMar>
              <w:top w:type="dxa" w:w="60"/>
              <w:left w:type="dxa" w:w="100"/>
              <w:bottom w:type="dxa" w:w="60"/>
              <w:right w:type="dxa" w:w="100"/>
            </w:tcMar>
            <w:vAlign w:val="center"/>
          </w:tcPr>
          <w:p>
            <w:r>
              <w:rPr>
                <w:b w:val="false"/>
                <w:bCs w:val="false"/>
                <w:color w:val="000000"/>
                <w:sz w:val="18"/>
                <w:szCs w:val="18"/>
              </w:rPr>
              <w:t xml:space="preserve">12.54%</w:t>
            </w:r>
          </w:p>
        </w:tc>
      </w:tr>
      <w:tr>
        <w:tc>
          <w:tcPr>
            <w:tcW w:type="dxa" w:w="6500"/>
            <w:tcMar>
              <w:top w:type="dxa" w:w="60"/>
              <w:left w:type="dxa" w:w="100"/>
              <w:bottom w:type="dxa" w:w="60"/>
              <w:right w:type="dxa" w:w="100"/>
            </w:tcMar>
            <w:vAlign w:val="center"/>
          </w:tcPr>
          <w:p>
            <w:r>
              <w:rPr>
                <w:b w:val="false"/>
                <w:bCs w:val="false"/>
                <w:color w:val="000000"/>
                <w:sz w:val="18"/>
                <w:szCs w:val="18"/>
              </w:rPr>
              <w:t xml:space="preserve">Software &amp; Cybersecurity</w:t>
            </w:r>
          </w:p>
        </w:tc>
        <w:tc>
          <w:tcPr>
            <w:tcW w:type="dxa" w:w="3100"/>
            <w:tcMar>
              <w:top w:type="dxa" w:w="60"/>
              <w:left w:type="dxa" w:w="100"/>
              <w:bottom w:type="dxa" w:w="60"/>
              <w:right w:type="dxa" w:w="100"/>
            </w:tcMar>
            <w:vAlign w:val="center"/>
          </w:tcPr>
          <w:p>
            <w:r>
              <w:rPr>
                <w:b w:val="false"/>
                <w:bCs w:val="false"/>
                <w:color w:val="000000"/>
                <w:sz w:val="18"/>
                <w:szCs w:val="18"/>
              </w:rPr>
              <w:t xml:space="preserve">11.54%</w:t>
            </w:r>
          </w:p>
        </w:tc>
      </w:tr>
      <w:tr>
        <w:tc>
          <w:tcPr>
            <w:tcW w:type="dxa" w:w="6500"/>
            <w:tcMar>
              <w:top w:type="dxa" w:w="60"/>
              <w:left w:type="dxa" w:w="100"/>
              <w:bottom w:type="dxa" w:w="60"/>
              <w:right w:type="dxa" w:w="100"/>
            </w:tcMar>
            <w:vAlign w:val="center"/>
          </w:tcPr>
          <w:p>
            <w:r>
              <w:rPr>
                <w:b w:val="false"/>
                <w:bCs w:val="false"/>
                <w:color w:val="000000"/>
                <w:sz w:val="18"/>
                <w:szCs w:val="18"/>
              </w:rPr>
              <w:t xml:space="preserve">Industrials</w:t>
            </w:r>
          </w:p>
        </w:tc>
        <w:tc>
          <w:tcPr>
            <w:tcW w:type="dxa" w:w="3100"/>
            <w:tcMar>
              <w:top w:type="dxa" w:w="60"/>
              <w:left w:type="dxa" w:w="100"/>
              <w:bottom w:type="dxa" w:w="60"/>
              <w:right w:type="dxa" w:w="100"/>
            </w:tcMar>
            <w:vAlign w:val="center"/>
          </w:tcPr>
          <w:p>
            <w:r>
              <w:rPr>
                <w:b w:val="false"/>
                <w:bCs w:val="false"/>
                <w:color w:val="000000"/>
                <w:sz w:val="18"/>
                <w:szCs w:val="18"/>
              </w:rPr>
              <w:t xml:space="preserve">8.05%</w:t>
            </w:r>
          </w:p>
        </w:tc>
      </w:tr>
      <w:tr>
        <w:tc>
          <w:tcPr>
            <w:tcW w:type="dxa" w:w="6500"/>
            <w:tcMar>
              <w:top w:type="dxa" w:w="60"/>
              <w:left w:type="dxa" w:w="100"/>
              <w:bottom w:type="dxa" w:w="60"/>
              <w:right w:type="dxa" w:w="100"/>
            </w:tcMar>
            <w:vAlign w:val="center"/>
          </w:tcPr>
          <w:p>
            <w:r>
              <w:rPr>
                <w:b w:val="false"/>
                <w:bCs w:val="false"/>
                <w:color w:val="000000"/>
                <w:sz w:val="18"/>
                <w:szCs w:val="18"/>
              </w:rPr>
              <w:t xml:space="preserve">Consumer</w:t>
            </w:r>
          </w:p>
        </w:tc>
        <w:tc>
          <w:tcPr>
            <w:tcW w:type="dxa" w:w="3100"/>
            <w:tcMar>
              <w:top w:type="dxa" w:w="60"/>
              <w:left w:type="dxa" w:w="100"/>
              <w:bottom w:type="dxa" w:w="60"/>
              <w:right w:type="dxa" w:w="100"/>
            </w:tcMar>
            <w:vAlign w:val="center"/>
          </w:tcPr>
          <w:p>
            <w:r>
              <w:rPr>
                <w:b w:val="false"/>
                <w:bCs w:val="false"/>
                <w:color w:val="000000"/>
                <w:sz w:val="18"/>
                <w:szCs w:val="18"/>
              </w:rPr>
              <w:t xml:space="preserve">6.55%</w:t>
            </w:r>
          </w:p>
        </w:tc>
      </w:tr>
      <w:tr>
        <w:tc>
          <w:tcPr>
            <w:tcW w:type="dxa" w:w="6500"/>
            <w:tcMar>
              <w:top w:type="dxa" w:w="60"/>
              <w:left w:type="dxa" w:w="100"/>
              <w:bottom w:type="dxa" w:w="60"/>
              <w:right w:type="dxa" w:w="100"/>
            </w:tcMar>
            <w:vAlign w:val="center"/>
          </w:tcPr>
          <w:p>
            <w:r>
              <w:rPr>
                <w:b w:val="false"/>
                <w:bCs w:val="false"/>
                <w:color w:val="000000"/>
                <w:sz w:val="18"/>
                <w:szCs w:val="18"/>
              </w:rPr>
              <w:t xml:space="preserve">Power &amp; Utilities</w:t>
            </w:r>
          </w:p>
        </w:tc>
        <w:tc>
          <w:tcPr>
            <w:tcW w:type="dxa" w:w="3100"/>
            <w:tcMar>
              <w:top w:type="dxa" w:w="60"/>
              <w:left w:type="dxa" w:w="100"/>
              <w:bottom w:type="dxa" w:w="60"/>
              <w:right w:type="dxa" w:w="100"/>
            </w:tcMar>
            <w:vAlign w:val="center"/>
          </w:tcPr>
          <w:p>
            <w:r>
              <w:rPr>
                <w:b w:val="false"/>
                <w:bCs w:val="false"/>
                <w:color w:val="000000"/>
                <w:sz w:val="18"/>
                <w:szCs w:val="18"/>
              </w:rPr>
              <w:t xml:space="preserve">4.42%</w:t>
            </w:r>
          </w:p>
        </w:tc>
      </w:tr>
      <w:tr>
        <w:tc>
          <w:tcPr>
            <w:tcW w:type="dxa" w:w="6500"/>
            <w:tcMar>
              <w:top w:type="dxa" w:w="60"/>
              <w:left w:type="dxa" w:w="100"/>
              <w:bottom w:type="dxa" w:w="60"/>
              <w:right w:type="dxa" w:w="100"/>
            </w:tcMar>
            <w:vAlign w:val="center"/>
          </w:tcPr>
          <w:p>
            <w:r>
              <w:rPr>
                <w:b w:val="false"/>
                <w:bCs w:val="false"/>
                <w:color w:val="000000"/>
                <w:sz w:val="18"/>
                <w:szCs w:val="18"/>
              </w:rPr>
              <w:t xml:space="preserve">AI/Cloud Infrastructure</w:t>
            </w:r>
          </w:p>
        </w:tc>
        <w:tc>
          <w:tcPr>
            <w:tcW w:type="dxa" w:w="3100"/>
            <w:tcMar>
              <w:top w:type="dxa" w:w="60"/>
              <w:left w:type="dxa" w:w="100"/>
              <w:bottom w:type="dxa" w:w="60"/>
              <w:right w:type="dxa" w:w="100"/>
            </w:tcMar>
            <w:vAlign w:val="center"/>
          </w:tcPr>
          <w:p>
            <w:r>
              <w:rPr>
                <w:b w:val="false"/>
                <w:bCs w:val="false"/>
                <w:color w:val="000000"/>
                <w:sz w:val="18"/>
                <w:szCs w:val="18"/>
              </w:rPr>
              <w:t xml:space="preserve">3.74%</w:t>
            </w:r>
          </w:p>
        </w:tc>
      </w:tr>
      <w:tr>
        <w:tc>
          <w:tcPr>
            <w:tcW w:type="dxa" w:w="6500"/>
            <w:tcMar>
              <w:top w:type="dxa" w:w="60"/>
              <w:left w:type="dxa" w:w="100"/>
              <w:bottom w:type="dxa" w:w="60"/>
              <w:right w:type="dxa" w:w="100"/>
            </w:tcMar>
            <w:vAlign w:val="center"/>
          </w:tcPr>
          <w:p>
            <w:r>
              <w:rPr>
                <w:b w:val="false"/>
                <w:bCs w:val="false"/>
                <w:color w:val="000000"/>
                <w:sz w:val="18"/>
                <w:szCs w:val="18"/>
              </w:rPr>
              <w:t xml:space="preserve">Leveraged Derivative</w:t>
            </w:r>
          </w:p>
        </w:tc>
        <w:tc>
          <w:tcPr>
            <w:tcW w:type="dxa" w:w="3100"/>
            <w:tcMar>
              <w:top w:type="dxa" w:w="60"/>
              <w:left w:type="dxa" w:w="100"/>
              <w:bottom w:type="dxa" w:w="60"/>
              <w:right w:type="dxa" w:w="100"/>
            </w:tcMar>
            <w:vAlign w:val="center"/>
          </w:tcPr>
          <w:p>
            <w:r>
              <w:rPr>
                <w:b w:val="false"/>
                <w:bCs w:val="false"/>
                <w:color w:val="000000"/>
                <w:sz w:val="18"/>
                <w:szCs w:val="18"/>
              </w:rPr>
              <w:t xml:space="preserve">2.81%</w:t>
            </w:r>
          </w:p>
        </w:tc>
      </w:tr>
      <w:tr>
        <w:tc>
          <w:tcPr>
            <w:tcW w:type="dxa" w:w="6500"/>
            <w:tcMar>
              <w:top w:type="dxa" w:w="60"/>
              <w:left w:type="dxa" w:w="100"/>
              <w:bottom w:type="dxa" w:w="60"/>
              <w:right w:type="dxa" w:w="100"/>
            </w:tcMar>
            <w:vAlign w:val="center"/>
          </w:tcPr>
          <w:p>
            <w:r>
              <w:rPr>
                <w:b w:val="false"/>
                <w:bCs w:val="false"/>
                <w:color w:val="000000"/>
                <w:sz w:val="18"/>
                <w:szCs w:val="18"/>
              </w:rPr>
              <w:t xml:space="preserve">Healthcare Technology</w:t>
            </w:r>
          </w:p>
        </w:tc>
        <w:tc>
          <w:tcPr>
            <w:tcW w:type="dxa" w:w="3100"/>
            <w:tcMar>
              <w:top w:type="dxa" w:w="60"/>
              <w:left w:type="dxa" w:w="100"/>
              <w:bottom w:type="dxa" w:w="60"/>
              <w:right w:type="dxa" w:w="100"/>
            </w:tcMar>
            <w:vAlign w:val="center"/>
          </w:tcPr>
          <w:p>
            <w:r>
              <w:rPr>
                <w:b w:val="false"/>
                <w:bCs w:val="false"/>
                <w:color w:val="000000"/>
                <w:sz w:val="18"/>
                <w:szCs w:val="18"/>
              </w:rPr>
              <w:t xml:space="preserve">0.57%</w:t>
            </w:r>
          </w:p>
        </w:tc>
      </w:tr>
    </w:tbl>
    <w:p>
      <w:pPr>
        <w:pStyle w:val="Heading2"/>
        <w:spacing w:after="120" w:before="240"/>
      </w:pPr>
      <w:r>
        <w:t xml:space="preserve">Bucket Structure (IPS Buckets)</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6500"/>
        <w:gridCol w:w="3100"/>
      </w:tblGrid>
      <w:tr>
        <w:trPr>
          <w:tblHeader/>
        </w:trPr>
        <w:tc>
          <w:tcPr>
            <w:tcW w:type="dxa" w:w="6500"/>
            <w:shd w:fill="1F2937" w:val="clear"/>
            <w:tcMar>
              <w:top w:type="dxa" w:w="60"/>
              <w:left w:type="dxa" w:w="100"/>
              <w:bottom w:type="dxa" w:w="60"/>
              <w:right w:type="dxa" w:w="100"/>
            </w:tcMar>
            <w:vAlign w:val="center"/>
          </w:tcPr>
          <w:p>
            <w:r>
              <w:rPr>
                <w:b/>
                <w:bCs/>
                <w:color w:val="FFFFFF"/>
                <w:sz w:val="18"/>
                <w:szCs w:val="18"/>
              </w:rPr>
              <w:t xml:space="preserve">Bucket</w:t>
            </w:r>
          </w:p>
        </w:tc>
        <w:tc>
          <w:tcPr>
            <w:tcW w:type="dxa" w:w="3100"/>
            <w:shd w:fill="1F2937" w:val="clear"/>
            <w:tcMar>
              <w:top w:type="dxa" w:w="60"/>
              <w:left w:type="dxa" w:w="100"/>
              <w:bottom w:type="dxa" w:w="60"/>
              <w:right w:type="dxa" w:w="100"/>
            </w:tcMar>
            <w:vAlign w:val="center"/>
          </w:tcPr>
          <w:p>
            <w:r>
              <w:rPr>
                <w:b/>
                <w:bCs/>
                <w:color w:val="FFFFFF"/>
                <w:sz w:val="18"/>
                <w:szCs w:val="18"/>
              </w:rPr>
              <w:t xml:space="preserve">% of Book</w:t>
            </w:r>
          </w:p>
        </w:tc>
      </w:tr>
      <w:tr>
        <w:tc>
          <w:tcPr>
            <w:tcW w:type="dxa" w:w="6500"/>
            <w:tcMar>
              <w:top w:type="dxa" w:w="60"/>
              <w:left w:type="dxa" w:w="100"/>
              <w:bottom w:type="dxa" w:w="60"/>
              <w:right w:type="dxa" w:w="100"/>
            </w:tcMar>
            <w:vAlign w:val="center"/>
          </w:tcPr>
          <w:p>
            <w:r>
              <w:rPr>
                <w:b w:val="false"/>
                <w:bCs w:val="false"/>
                <w:color w:val="000000"/>
                <w:sz w:val="18"/>
                <w:szCs w:val="18"/>
              </w:rPr>
              <w:t xml:space="preserve">Core</w:t>
            </w:r>
          </w:p>
        </w:tc>
        <w:tc>
          <w:tcPr>
            <w:tcW w:type="dxa" w:w="3100"/>
            <w:tcMar>
              <w:top w:type="dxa" w:w="60"/>
              <w:left w:type="dxa" w:w="100"/>
              <w:bottom w:type="dxa" w:w="60"/>
              <w:right w:type="dxa" w:w="100"/>
            </w:tcMar>
            <w:vAlign w:val="center"/>
          </w:tcPr>
          <w:p>
            <w:r>
              <w:rPr>
                <w:b w:val="false"/>
                <w:bCs w:val="false"/>
                <w:color w:val="000000"/>
                <w:sz w:val="18"/>
                <w:szCs w:val="18"/>
              </w:rPr>
              <w:t xml:space="preserve">63.7%</w:t>
            </w:r>
          </w:p>
        </w:tc>
      </w:tr>
      <w:tr>
        <w:tc>
          <w:tcPr>
            <w:tcW w:type="dxa" w:w="6500"/>
            <w:tcMar>
              <w:top w:type="dxa" w:w="60"/>
              <w:left w:type="dxa" w:w="100"/>
              <w:bottom w:type="dxa" w:w="60"/>
              <w:right w:type="dxa" w:w="100"/>
            </w:tcMar>
            <w:vAlign w:val="center"/>
          </w:tcPr>
          <w:p>
            <w:r>
              <w:rPr>
                <w:b w:val="false"/>
                <w:bCs w:val="false"/>
                <w:color w:val="000000"/>
                <w:sz w:val="18"/>
                <w:szCs w:val="18"/>
              </w:rPr>
              <w:t xml:space="preserve">Index Hedge</w:t>
            </w:r>
          </w:p>
        </w:tc>
        <w:tc>
          <w:tcPr>
            <w:tcW w:type="dxa" w:w="3100"/>
            <w:tcMar>
              <w:top w:type="dxa" w:w="60"/>
              <w:left w:type="dxa" w:w="100"/>
              <w:bottom w:type="dxa" w:w="60"/>
              <w:right w:type="dxa" w:w="100"/>
            </w:tcMar>
            <w:vAlign w:val="center"/>
          </w:tcPr>
          <w:p>
            <w:r>
              <w:rPr>
                <w:b w:val="false"/>
                <w:bCs w:val="false"/>
                <w:color w:val="000000"/>
                <w:sz w:val="18"/>
                <w:szCs w:val="18"/>
              </w:rPr>
              <w:t xml:space="preserve">18.4%</w:t>
            </w:r>
          </w:p>
        </w:tc>
      </w:tr>
      <w:tr>
        <w:tc>
          <w:tcPr>
            <w:tcW w:type="dxa" w:w="6500"/>
            <w:tcMar>
              <w:top w:type="dxa" w:w="60"/>
              <w:left w:type="dxa" w:w="100"/>
              <w:bottom w:type="dxa" w:w="60"/>
              <w:right w:type="dxa" w:w="100"/>
            </w:tcMar>
            <w:vAlign w:val="center"/>
          </w:tcPr>
          <w:p>
            <w:r>
              <w:rPr>
                <w:b w:val="false"/>
                <w:bCs w:val="false"/>
                <w:color w:val="000000"/>
                <w:sz w:val="18"/>
                <w:szCs w:val="18"/>
              </w:rPr>
              <w:t xml:space="preserve">Emerging Growth</w:t>
            </w:r>
          </w:p>
        </w:tc>
        <w:tc>
          <w:tcPr>
            <w:tcW w:type="dxa" w:w="3100"/>
            <w:tcMar>
              <w:top w:type="dxa" w:w="60"/>
              <w:left w:type="dxa" w:w="100"/>
              <w:bottom w:type="dxa" w:w="60"/>
              <w:right w:type="dxa" w:w="100"/>
            </w:tcMar>
            <w:vAlign w:val="center"/>
          </w:tcPr>
          <w:p>
            <w:r>
              <w:rPr>
                <w:b w:val="false"/>
                <w:bCs w:val="false"/>
                <w:color w:val="000000"/>
                <w:sz w:val="18"/>
                <w:szCs w:val="18"/>
              </w:rPr>
              <w:t xml:space="preserve">8.6%</w:t>
            </w:r>
          </w:p>
        </w:tc>
      </w:tr>
      <w:tr>
        <w:tc>
          <w:tcPr>
            <w:tcW w:type="dxa" w:w="6500"/>
            <w:tcMar>
              <w:top w:type="dxa" w:w="60"/>
              <w:left w:type="dxa" w:w="100"/>
              <w:bottom w:type="dxa" w:w="60"/>
              <w:right w:type="dxa" w:w="100"/>
            </w:tcMar>
            <w:vAlign w:val="center"/>
          </w:tcPr>
          <w:p>
            <w:r>
              <w:rPr>
                <w:b w:val="false"/>
                <w:bCs w:val="false"/>
                <w:color w:val="000000"/>
                <w:sz w:val="18"/>
                <w:szCs w:val="18"/>
              </w:rPr>
              <w:t xml:space="preserve">Speculative Sleeve</w:t>
            </w:r>
          </w:p>
        </w:tc>
        <w:tc>
          <w:tcPr>
            <w:tcW w:type="dxa" w:w="3100"/>
            <w:tcMar>
              <w:top w:type="dxa" w:w="60"/>
              <w:left w:type="dxa" w:w="100"/>
              <w:bottom w:type="dxa" w:w="60"/>
              <w:right w:type="dxa" w:w="100"/>
            </w:tcMar>
            <w:vAlign w:val="center"/>
          </w:tcPr>
          <w:p>
            <w:r>
              <w:rPr>
                <w:b w:val="false"/>
                <w:bCs w:val="false"/>
                <w:color w:val="000000"/>
                <w:sz w:val="18"/>
                <w:szCs w:val="18"/>
              </w:rPr>
              <w:t xml:space="preserve">6.5%</w:t>
            </w:r>
          </w:p>
        </w:tc>
      </w:tr>
      <w:tr>
        <w:tc>
          <w:tcPr>
            <w:tcW w:type="dxa" w:w="6500"/>
            <w:tcMar>
              <w:top w:type="dxa" w:w="60"/>
              <w:left w:type="dxa" w:w="100"/>
              <w:bottom w:type="dxa" w:w="60"/>
              <w:right w:type="dxa" w:w="100"/>
            </w:tcMar>
            <w:vAlign w:val="center"/>
          </w:tcPr>
          <w:p>
            <w:r>
              <w:rPr>
                <w:b w:val="false"/>
                <w:bCs w:val="false"/>
                <w:color w:val="000000"/>
                <w:sz w:val="18"/>
                <w:szCs w:val="18"/>
              </w:rPr>
              <w:t xml:space="preserve">Leveraged / Derivative</w:t>
            </w:r>
          </w:p>
        </w:tc>
        <w:tc>
          <w:tcPr>
            <w:tcW w:type="dxa" w:w="3100"/>
            <w:tcMar>
              <w:top w:type="dxa" w:w="60"/>
              <w:left w:type="dxa" w:w="100"/>
              <w:bottom w:type="dxa" w:w="60"/>
              <w:right w:type="dxa" w:w="100"/>
            </w:tcMar>
            <w:vAlign w:val="center"/>
          </w:tcPr>
          <w:p>
            <w:r>
              <w:rPr>
                <w:b w:val="false"/>
                <w:bCs w:val="false"/>
                <w:color w:val="000000"/>
                <w:sz w:val="18"/>
                <w:szCs w:val="18"/>
              </w:rPr>
              <w:t xml:space="preserve">2.8%</w:t>
            </w:r>
          </w:p>
        </w:tc>
      </w:tr>
    </w:tbl>
    <w:p>
      <w:pPr>
        <w:pStyle w:val="Heading2"/>
        <w:spacing w:after="120" w:before="240"/>
      </w:pPr>
      <w:r>
        <w:t xml:space="preserve">Factor Tilt</w:t>
      </w:r>
    </w:p>
    <w:p>
      <w:pPr>
        <w:pStyle w:val="ListParagraph"/>
        <w:numPr>
          <w:ilvl w:val="0"/>
          <w:numId w:val="1"/>
        </w:numPr>
        <w:spacing w:after="60"/>
      </w:pPr>
      <w:r>
        <w:t xml:space="preserve">57.2% of book in GAAP-profitable names</w:t>
      </w:r>
    </w:p>
    <w:p>
      <w:pPr>
        <w:pStyle w:val="ListParagraph"/>
        <w:numPr>
          <w:ilvl w:val="0"/>
          <w:numId w:val="1"/>
        </w:numPr>
        <w:spacing w:after="60"/>
      </w:pPr>
      <w:r>
        <w:t xml:space="preserve">121.7x weighted P/E on the profitable subset</w:t>
      </w:r>
    </w:p>
    <w:p>
      <w:pPr>
        <w:pStyle w:val="ListParagraph"/>
        <w:numPr>
          <w:ilvl w:val="0"/>
          <w:numId w:val="1"/>
        </w:numPr>
        <w:spacing w:after="60"/>
      </w:pPr>
      <w:r>
        <w:t xml:space="preserve">21.9% of book in pre-profit / growth-stage names</w:t>
      </w:r>
    </w:p>
    <w:p>
      <w:pPr>
        <w:pStyle w:val="ListParagraph"/>
        <w:numPr>
          <w:ilvl w:val="0"/>
          <w:numId w:val="1"/>
        </w:numPr>
        <w:spacing w:after="60"/>
      </w:pPr>
      <w:r>
        <w:t xml:space="preserve">20.9% of book in index funds (no single-name P/E)</w:t>
      </w:r>
    </w:p>
    <w:p>
      <w:pPr>
        <w:pStyle w:val="Heading2"/>
        <w:spacing w:after="120" w:before="240"/>
      </w:pPr>
      <w:r>
        <w:t xml:space="preserve">Return Contribution — Top 10 Positions (percentage points, weight × return)</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3800"/>
        <w:gridCol w:w="5800"/>
      </w:tblGrid>
      <w:tr>
        <w:trPr>
          <w:tblHeader/>
        </w:trPr>
        <w:tc>
          <w:tcPr>
            <w:tcW w:type="dxa" w:w="3800"/>
            <w:shd w:fill="1F2937" w:val="clear"/>
            <w:tcMar>
              <w:top w:type="dxa" w:w="60"/>
              <w:left w:type="dxa" w:w="100"/>
              <w:bottom w:type="dxa" w:w="60"/>
              <w:right w:type="dxa" w:w="100"/>
            </w:tcMar>
            <w:vAlign w:val="center"/>
          </w:tcPr>
          <w:p>
            <w:r>
              <w:rPr>
                <w:b/>
                <w:bCs/>
                <w:color w:val="FFFFFF"/>
                <w:sz w:val="18"/>
                <w:szCs w:val="18"/>
              </w:rPr>
              <w:t xml:space="preserve">Ticker</w:t>
            </w:r>
          </w:p>
        </w:tc>
        <w:tc>
          <w:tcPr>
            <w:tcW w:type="dxa" w:w="5800"/>
            <w:shd w:fill="1F2937" w:val="clear"/>
            <w:tcMar>
              <w:top w:type="dxa" w:w="60"/>
              <w:left w:type="dxa" w:w="100"/>
              <w:bottom w:type="dxa" w:w="60"/>
              <w:right w:type="dxa" w:w="100"/>
            </w:tcMar>
            <w:vAlign w:val="center"/>
          </w:tcPr>
          <w:p>
            <w:r>
              <w:rPr>
                <w:b/>
                <w:bCs/>
                <w:color w:val="FFFFFF"/>
                <w:sz w:val="18"/>
                <w:szCs w:val="18"/>
              </w:rPr>
              <w:t xml:space="preserve">Contribution (pp)</w:t>
            </w:r>
          </w:p>
        </w:tc>
      </w:tr>
      <w:tr>
        <w:tc>
          <w:tcPr>
            <w:tcW w:type="dxa" w:w="3800"/>
            <w:tcMar>
              <w:top w:type="dxa" w:w="60"/>
              <w:left w:type="dxa" w:w="100"/>
              <w:bottom w:type="dxa" w:w="60"/>
              <w:right w:type="dxa" w:w="100"/>
            </w:tcMar>
            <w:vAlign w:val="center"/>
          </w:tcPr>
          <w:p>
            <w:r>
              <w:rPr>
                <w:b w:val="false"/>
                <w:bCs w:val="false"/>
                <w:color w:val="000000"/>
                <w:sz w:val="18"/>
                <w:szCs w:val="18"/>
              </w:rPr>
              <w:t xml:space="preserve">SNDK</w:t>
            </w:r>
          </w:p>
        </w:tc>
        <w:tc>
          <w:tcPr>
            <w:tcW w:type="dxa" w:w="5800"/>
            <w:tcMar>
              <w:top w:type="dxa" w:w="60"/>
              <w:left w:type="dxa" w:w="100"/>
              <w:bottom w:type="dxa" w:w="60"/>
              <w:right w:type="dxa" w:w="100"/>
            </w:tcMar>
            <w:vAlign w:val="center"/>
          </w:tcPr>
          <w:p>
            <w:r>
              <w:rPr>
                <w:b w:val="false"/>
                <w:bCs w:val="false"/>
                <w:color w:val="000000"/>
                <w:sz w:val="18"/>
                <w:szCs w:val="18"/>
              </w:rPr>
              <w:t xml:space="preserve">+22.27</w:t>
            </w:r>
          </w:p>
        </w:tc>
      </w:tr>
      <w:tr>
        <w:tc>
          <w:tcPr>
            <w:tcW w:type="dxa" w:w="3800"/>
            <w:tcMar>
              <w:top w:type="dxa" w:w="60"/>
              <w:left w:type="dxa" w:w="100"/>
              <w:bottom w:type="dxa" w:w="60"/>
              <w:right w:type="dxa" w:w="100"/>
            </w:tcMar>
            <w:vAlign w:val="center"/>
          </w:tcPr>
          <w:p>
            <w:r>
              <w:rPr>
                <w:b w:val="false"/>
                <w:bCs w:val="false"/>
                <w:color w:val="000000"/>
                <w:sz w:val="18"/>
                <w:szCs w:val="18"/>
              </w:rPr>
              <w:t xml:space="preserve">AMD</w:t>
            </w:r>
          </w:p>
        </w:tc>
        <w:tc>
          <w:tcPr>
            <w:tcW w:type="dxa" w:w="5800"/>
            <w:tcMar>
              <w:top w:type="dxa" w:w="60"/>
              <w:left w:type="dxa" w:w="100"/>
              <w:bottom w:type="dxa" w:w="60"/>
              <w:right w:type="dxa" w:w="100"/>
            </w:tcMar>
            <w:vAlign w:val="center"/>
          </w:tcPr>
          <w:p>
            <w:r>
              <w:rPr>
                <w:b w:val="false"/>
                <w:bCs w:val="false"/>
                <w:color w:val="000000"/>
                <w:sz w:val="18"/>
                <w:szCs w:val="18"/>
              </w:rPr>
              <w:t xml:space="preserve">+14.73</w:t>
            </w:r>
          </w:p>
        </w:tc>
      </w:tr>
      <w:tr>
        <w:tc>
          <w:tcPr>
            <w:tcW w:type="dxa" w:w="3800"/>
            <w:tcMar>
              <w:top w:type="dxa" w:w="60"/>
              <w:left w:type="dxa" w:w="100"/>
              <w:bottom w:type="dxa" w:w="60"/>
              <w:right w:type="dxa" w:w="100"/>
            </w:tcMar>
            <w:vAlign w:val="center"/>
          </w:tcPr>
          <w:p>
            <w:r>
              <w:rPr>
                <w:b w:val="false"/>
                <w:bCs w:val="false"/>
                <w:color w:val="000000"/>
                <w:sz w:val="18"/>
                <w:szCs w:val="18"/>
              </w:rPr>
              <w:t xml:space="preserve">META</w:t>
            </w:r>
          </w:p>
        </w:tc>
        <w:tc>
          <w:tcPr>
            <w:tcW w:type="dxa" w:w="5800"/>
            <w:tcMar>
              <w:top w:type="dxa" w:w="60"/>
              <w:left w:type="dxa" w:w="100"/>
              <w:bottom w:type="dxa" w:w="60"/>
              <w:right w:type="dxa" w:w="100"/>
            </w:tcMar>
            <w:vAlign w:val="center"/>
          </w:tcPr>
          <w:p>
            <w:r>
              <w:rPr>
                <w:b w:val="false"/>
                <w:bCs w:val="false"/>
                <w:color w:val="000000"/>
                <w:sz w:val="18"/>
                <w:szCs w:val="18"/>
              </w:rPr>
              <w:t xml:space="preserve">+14.67</w:t>
            </w:r>
          </w:p>
        </w:tc>
      </w:tr>
      <w:tr>
        <w:tc>
          <w:tcPr>
            <w:tcW w:type="dxa" w:w="3800"/>
            <w:tcMar>
              <w:top w:type="dxa" w:w="60"/>
              <w:left w:type="dxa" w:w="100"/>
              <w:bottom w:type="dxa" w:w="60"/>
              <w:right w:type="dxa" w:w="100"/>
            </w:tcMar>
            <w:vAlign w:val="center"/>
          </w:tcPr>
          <w:p>
            <w:r>
              <w:rPr>
                <w:b w:val="false"/>
                <w:bCs w:val="false"/>
                <w:color w:val="000000"/>
                <w:sz w:val="18"/>
                <w:szCs w:val="18"/>
              </w:rPr>
              <w:t xml:space="preserve">MU</w:t>
            </w:r>
          </w:p>
        </w:tc>
        <w:tc>
          <w:tcPr>
            <w:tcW w:type="dxa" w:w="5800"/>
            <w:tcMar>
              <w:top w:type="dxa" w:w="60"/>
              <w:left w:type="dxa" w:w="100"/>
              <w:bottom w:type="dxa" w:w="60"/>
              <w:right w:type="dxa" w:w="100"/>
            </w:tcMar>
            <w:vAlign w:val="center"/>
          </w:tcPr>
          <w:p>
            <w:r>
              <w:rPr>
                <w:b w:val="false"/>
                <w:bCs w:val="false"/>
                <w:color w:val="000000"/>
                <w:sz w:val="18"/>
                <w:szCs w:val="18"/>
              </w:rPr>
              <w:t xml:space="preserve">+11.24</w:t>
            </w:r>
          </w:p>
        </w:tc>
      </w:tr>
      <w:tr>
        <w:tc>
          <w:tcPr>
            <w:tcW w:type="dxa" w:w="3800"/>
            <w:tcMar>
              <w:top w:type="dxa" w:w="60"/>
              <w:left w:type="dxa" w:w="100"/>
              <w:bottom w:type="dxa" w:w="60"/>
              <w:right w:type="dxa" w:w="100"/>
            </w:tcMar>
            <w:vAlign w:val="center"/>
          </w:tcPr>
          <w:p>
            <w:r>
              <w:rPr>
                <w:b w:val="false"/>
                <w:bCs w:val="false"/>
                <w:color w:val="000000"/>
                <w:sz w:val="18"/>
                <w:szCs w:val="18"/>
              </w:rPr>
              <w:t xml:space="preserve">INTC</w:t>
            </w:r>
          </w:p>
        </w:tc>
        <w:tc>
          <w:tcPr>
            <w:tcW w:type="dxa" w:w="5800"/>
            <w:tcMar>
              <w:top w:type="dxa" w:w="60"/>
              <w:left w:type="dxa" w:w="100"/>
              <w:bottom w:type="dxa" w:w="60"/>
              <w:right w:type="dxa" w:w="100"/>
            </w:tcMar>
            <w:vAlign w:val="center"/>
          </w:tcPr>
          <w:p>
            <w:r>
              <w:rPr>
                <w:b w:val="false"/>
                <w:bCs w:val="false"/>
                <w:color w:val="000000"/>
                <w:sz w:val="18"/>
                <w:szCs w:val="18"/>
              </w:rPr>
              <w:t xml:space="preserve">+7.54</w:t>
            </w:r>
          </w:p>
        </w:tc>
      </w:tr>
      <w:tr>
        <w:tc>
          <w:tcPr>
            <w:tcW w:type="dxa" w:w="3800"/>
            <w:tcMar>
              <w:top w:type="dxa" w:w="60"/>
              <w:left w:type="dxa" w:w="100"/>
              <w:bottom w:type="dxa" w:w="60"/>
              <w:right w:type="dxa" w:w="100"/>
            </w:tcMar>
            <w:vAlign w:val="center"/>
          </w:tcPr>
          <w:p>
            <w:r>
              <w:rPr>
                <w:b w:val="false"/>
                <w:bCs w:val="false"/>
                <w:color w:val="000000"/>
                <w:sz w:val="18"/>
                <w:szCs w:val="18"/>
              </w:rPr>
              <w:t xml:space="preserve">NBIL</w:t>
            </w:r>
          </w:p>
        </w:tc>
        <w:tc>
          <w:tcPr>
            <w:tcW w:type="dxa" w:w="5800"/>
            <w:tcMar>
              <w:top w:type="dxa" w:w="60"/>
              <w:left w:type="dxa" w:w="100"/>
              <w:bottom w:type="dxa" w:w="60"/>
              <w:right w:type="dxa" w:w="100"/>
            </w:tcMar>
            <w:vAlign w:val="center"/>
          </w:tcPr>
          <w:p>
            <w:r>
              <w:rPr>
                <w:b w:val="false"/>
                <w:bCs w:val="false"/>
                <w:color w:val="000000"/>
                <w:sz w:val="18"/>
                <w:szCs w:val="18"/>
              </w:rPr>
              <w:t xml:space="preserve">+6.65</w:t>
            </w:r>
          </w:p>
        </w:tc>
      </w:tr>
      <w:tr>
        <w:tc>
          <w:tcPr>
            <w:tcW w:type="dxa" w:w="3800"/>
            <w:tcMar>
              <w:top w:type="dxa" w:w="60"/>
              <w:left w:type="dxa" w:w="100"/>
              <w:bottom w:type="dxa" w:w="60"/>
              <w:right w:type="dxa" w:w="100"/>
            </w:tcMar>
            <w:vAlign w:val="center"/>
          </w:tcPr>
          <w:p>
            <w:r>
              <w:rPr>
                <w:b w:val="false"/>
                <w:bCs w:val="false"/>
                <w:color w:val="000000"/>
                <w:sz w:val="18"/>
                <w:szCs w:val="18"/>
              </w:rPr>
              <w:t xml:space="preserve">PANW</w:t>
            </w:r>
          </w:p>
        </w:tc>
        <w:tc>
          <w:tcPr>
            <w:tcW w:type="dxa" w:w="5800"/>
            <w:tcMar>
              <w:top w:type="dxa" w:w="60"/>
              <w:left w:type="dxa" w:w="100"/>
              <w:bottom w:type="dxa" w:w="60"/>
              <w:right w:type="dxa" w:w="100"/>
            </w:tcMar>
            <w:vAlign w:val="center"/>
          </w:tcPr>
          <w:p>
            <w:r>
              <w:rPr>
                <w:b w:val="false"/>
                <w:bCs w:val="false"/>
                <w:color w:val="000000"/>
                <w:sz w:val="18"/>
                <w:szCs w:val="18"/>
              </w:rPr>
              <w:t xml:space="preserve">+5.51</w:t>
            </w:r>
          </w:p>
        </w:tc>
      </w:tr>
      <w:tr>
        <w:tc>
          <w:tcPr>
            <w:tcW w:type="dxa" w:w="3800"/>
            <w:tcMar>
              <w:top w:type="dxa" w:w="60"/>
              <w:left w:type="dxa" w:w="100"/>
              <w:bottom w:type="dxa" w:w="60"/>
              <w:right w:type="dxa" w:w="100"/>
            </w:tcMar>
            <w:vAlign w:val="center"/>
          </w:tcPr>
          <w:p>
            <w:r>
              <w:rPr>
                <w:b w:val="false"/>
                <w:bCs w:val="false"/>
                <w:color w:val="000000"/>
                <w:sz w:val="18"/>
                <w:szCs w:val="18"/>
              </w:rPr>
              <w:t xml:space="preserve">DDOG</w:t>
            </w:r>
          </w:p>
        </w:tc>
        <w:tc>
          <w:tcPr>
            <w:tcW w:type="dxa" w:w="5800"/>
            <w:tcMar>
              <w:top w:type="dxa" w:w="60"/>
              <w:left w:type="dxa" w:w="100"/>
              <w:bottom w:type="dxa" w:w="60"/>
              <w:right w:type="dxa" w:w="100"/>
            </w:tcMar>
            <w:vAlign w:val="center"/>
          </w:tcPr>
          <w:p>
            <w:r>
              <w:rPr>
                <w:b w:val="false"/>
                <w:bCs w:val="false"/>
                <w:color w:val="000000"/>
                <w:sz w:val="18"/>
                <w:szCs w:val="18"/>
              </w:rPr>
              <w:t xml:space="preserve">+2.35</w:t>
            </w:r>
          </w:p>
        </w:tc>
      </w:tr>
      <w:tr>
        <w:tc>
          <w:tcPr>
            <w:tcW w:type="dxa" w:w="3800"/>
            <w:tcMar>
              <w:top w:type="dxa" w:w="60"/>
              <w:left w:type="dxa" w:w="100"/>
              <w:bottom w:type="dxa" w:w="60"/>
              <w:right w:type="dxa" w:w="100"/>
            </w:tcMar>
            <w:vAlign w:val="center"/>
          </w:tcPr>
          <w:p>
            <w:r>
              <w:rPr>
                <w:b w:val="false"/>
                <w:bCs w:val="false"/>
                <w:color w:val="000000"/>
                <w:sz w:val="18"/>
                <w:szCs w:val="18"/>
              </w:rPr>
              <w:t xml:space="preserve">NBIS</w:t>
            </w:r>
          </w:p>
        </w:tc>
        <w:tc>
          <w:tcPr>
            <w:tcW w:type="dxa" w:w="5800"/>
            <w:tcMar>
              <w:top w:type="dxa" w:w="60"/>
              <w:left w:type="dxa" w:w="100"/>
              <w:bottom w:type="dxa" w:w="60"/>
              <w:right w:type="dxa" w:w="100"/>
            </w:tcMar>
            <w:vAlign w:val="center"/>
          </w:tcPr>
          <w:p>
            <w:r>
              <w:rPr>
                <w:b w:val="false"/>
                <w:bCs w:val="false"/>
                <w:color w:val="000000"/>
                <w:sz w:val="18"/>
                <w:szCs w:val="18"/>
              </w:rPr>
              <w:t xml:space="preserve">+1.86</w:t>
            </w:r>
          </w:p>
        </w:tc>
      </w:tr>
      <w:tr>
        <w:tc>
          <w:tcPr>
            <w:tcW w:type="dxa" w:w="3800"/>
            <w:tcMar>
              <w:top w:type="dxa" w:w="60"/>
              <w:left w:type="dxa" w:w="100"/>
              <w:bottom w:type="dxa" w:w="60"/>
              <w:right w:type="dxa" w:w="100"/>
            </w:tcMar>
            <w:vAlign w:val="center"/>
          </w:tcPr>
          <w:p>
            <w:r>
              <w:rPr>
                <w:b w:val="false"/>
                <w:bCs w:val="false"/>
                <w:color w:val="000000"/>
                <w:sz w:val="18"/>
                <w:szCs w:val="18"/>
              </w:rPr>
              <w:t xml:space="preserve">CAKE</w:t>
            </w:r>
          </w:p>
        </w:tc>
        <w:tc>
          <w:tcPr>
            <w:tcW w:type="dxa" w:w="5800"/>
            <w:tcMar>
              <w:top w:type="dxa" w:w="60"/>
              <w:left w:type="dxa" w:w="100"/>
              <w:bottom w:type="dxa" w:w="60"/>
              <w:right w:type="dxa" w:w="100"/>
            </w:tcMar>
            <w:vAlign w:val="center"/>
          </w:tcPr>
          <w:p>
            <w:r>
              <w:rPr>
                <w:b w:val="false"/>
                <w:bCs w:val="false"/>
                <w:color w:val="000000"/>
                <w:sz w:val="18"/>
                <w:szCs w:val="18"/>
              </w:rPr>
              <w:t xml:space="preserve">+1.84</w:t>
            </w:r>
          </w:p>
        </w:tc>
      </w:tr>
    </w:tbl>
    <w:p>
      <w:pPr>
        <w:pStyle w:val="Heading2"/>
        <w:spacing w:after="120" w:before="240"/>
      </w:pPr>
      <w:r>
        <w:t xml:space="preserve">Income / Dividend Concentration</w:t>
      </w:r>
    </w:p>
    <w:p>
      <w:pPr>
        <w:spacing w:after="100"/>
      </w:pPr>
      <w:r>
        <w:rPr>
          <w:sz w:val="21"/>
          <w:szCs w:val="21"/>
        </w:rPr>
        <w:t xml:space="preserve">Weighted yield of 0.24% is calculated across the 87.57% of book with a verified per-name yield figure (SPY/VOO excluded — no single-name fundamentals table for pure index trackers). Named yield contributors: SCHD 3.25%, CAKE 1.51%, EL 1.70%, AVGO 0.69%.</w:t>
      </w:r>
    </w:p>
    <w:p>
      <w:pPr>
        <w:pStyle w:val="Heading2"/>
        <w:spacing w:after="120" w:before="240"/>
      </w:pPr>
      <w:r>
        <w:t xml:space="preserve">Single-Theme Clustering Disclosure — AI Infrastructure, Compute &amp; Power</w:t>
      </w:r>
    </w:p>
    <w:p>
      <w:pPr>
        <w:spacing w:after="100"/>
      </w:pPr>
      <w:r>
        <w:rPr>
          <w:sz w:val="21"/>
          <w:szCs w:val="21"/>
        </w:rPr>
        <w:t xml:space="preserve">"The theme: AI infrastructure, compute &amp; power — semiconductors and memory, enterprise software tied to AI capex, AI data-center and compute infrastructure, and the power generation that feeds it are, functionally, one bet: that AI-driven compute and power demand keeps growing." Seventeen positions (16 equities + 1 leveraged ETF) — 60.93% of the book — map to this single theme (Thematic Exposure page; Tearsheet cites a close but non-identical 60.46%, a likely page-refresh timing artifact).</w:t>
      </w:r>
    </w:p>
    <w:p>
      <w:pPr>
        <w:spacing w:after="100"/>
      </w:pPr>
      <w:r>
        <w:rPr>
          <w:sz w:val="21"/>
          <w:szCs w:val="21"/>
        </w:rPr>
        <w:t xml:space="preserve">Why disclosed, not capped (verbatim): "A hard cap on a theme this broadly defined would either be meaningless (set so high it never binds) or would force selling good businesses for a bad reason (correlation, not fundamentals). The honest response is transparency: this page, kept current, plus the standing risk this creates."</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1600"/>
        <w:gridCol w:w="6200"/>
        <w:gridCol w:w="1800"/>
      </w:tblGrid>
      <w:tr>
        <w:trPr>
          <w:tblHeader/>
        </w:trPr>
        <w:tc>
          <w:tcPr>
            <w:tcW w:type="dxa" w:w="1600"/>
            <w:shd w:fill="1F2937" w:val="clear"/>
            <w:tcMar>
              <w:top w:type="dxa" w:w="60"/>
              <w:left w:type="dxa" w:w="100"/>
              <w:bottom w:type="dxa" w:w="60"/>
              <w:right w:type="dxa" w:w="100"/>
            </w:tcMar>
            <w:vAlign w:val="center"/>
          </w:tcPr>
          <w:p>
            <w:r>
              <w:rPr>
                <w:b/>
                <w:bCs/>
                <w:color w:val="FFFFFF"/>
                <w:sz w:val="18"/>
                <w:szCs w:val="18"/>
              </w:rPr>
              <w:t xml:space="preserve">Ticker</w:t>
            </w:r>
          </w:p>
        </w:tc>
        <w:tc>
          <w:tcPr>
            <w:tcW w:type="dxa" w:w="6200"/>
            <w:shd w:fill="1F2937" w:val="clear"/>
            <w:tcMar>
              <w:top w:type="dxa" w:w="60"/>
              <w:left w:type="dxa" w:w="100"/>
              <w:bottom w:type="dxa" w:w="60"/>
              <w:right w:type="dxa" w:w="100"/>
            </w:tcMar>
            <w:vAlign w:val="center"/>
          </w:tcPr>
          <w:p>
            <w:r>
              <w:rPr>
                <w:b/>
                <w:bCs/>
                <w:color w:val="FFFFFF"/>
                <w:sz w:val="18"/>
                <w:szCs w:val="18"/>
              </w:rPr>
              <w:t xml:space="preserve">Sub-theme</w:t>
            </w:r>
          </w:p>
        </w:tc>
        <w:tc>
          <w:tcPr>
            <w:tcW w:type="dxa" w:w="1800"/>
            <w:shd w:fill="1F2937" w:val="clear"/>
            <w:tcMar>
              <w:top w:type="dxa" w:w="60"/>
              <w:left w:type="dxa" w:w="100"/>
              <w:bottom w:type="dxa" w:w="60"/>
              <w:right w:type="dxa" w:w="100"/>
            </w:tcMar>
            <w:vAlign w:val="center"/>
          </w:tcPr>
          <w:p>
            <w:r>
              <w:rPr>
                <w:b/>
                <w:bCs/>
                <w:color w:val="FFFFFF"/>
                <w:sz w:val="18"/>
                <w:szCs w:val="18"/>
              </w:rPr>
              <w:t xml:space="preserve">% of Book</w:t>
            </w:r>
          </w:p>
        </w:tc>
      </w:tr>
      <w:tr>
        <w:tc>
          <w:tcPr>
            <w:tcW w:type="dxa" w:w="1600"/>
            <w:tcMar>
              <w:top w:type="dxa" w:w="60"/>
              <w:left w:type="dxa" w:w="100"/>
              <w:bottom w:type="dxa" w:w="60"/>
              <w:right w:type="dxa" w:w="100"/>
            </w:tcMar>
            <w:vAlign w:val="center"/>
          </w:tcPr>
          <w:p>
            <w:r>
              <w:rPr>
                <w:b w:val="false"/>
                <w:bCs w:val="false"/>
                <w:color w:val="000000"/>
                <w:sz w:val="18"/>
                <w:szCs w:val="18"/>
              </w:rPr>
              <w:t xml:space="preserve">SNDK</w:t>
            </w:r>
          </w:p>
        </w:tc>
        <w:tc>
          <w:tcPr>
            <w:tcW w:type="dxa" w:w="6200"/>
            <w:tcMar>
              <w:top w:type="dxa" w:w="60"/>
              <w:left w:type="dxa" w:w="100"/>
              <w:bottom w:type="dxa" w:w="60"/>
              <w:right w:type="dxa" w:w="100"/>
            </w:tcMar>
            <w:vAlign w:val="center"/>
          </w:tcPr>
          <w:p>
            <w:r>
              <w:rPr>
                <w:b w:val="false"/>
                <w:bCs w:val="false"/>
                <w:color w:val="000000"/>
                <w:sz w:val="18"/>
                <w:szCs w:val="18"/>
              </w:rPr>
              <w:t xml:space="preserve">Semiconductors / memory tied to AI capex</w:t>
            </w:r>
          </w:p>
        </w:tc>
        <w:tc>
          <w:tcPr>
            <w:tcW w:type="dxa" w:w="1800"/>
            <w:tcMar>
              <w:top w:type="dxa" w:w="60"/>
              <w:left w:type="dxa" w:w="100"/>
              <w:bottom w:type="dxa" w:w="60"/>
              <w:right w:type="dxa" w:w="100"/>
            </w:tcMar>
            <w:vAlign w:val="center"/>
          </w:tcPr>
          <w:p>
            <w:r>
              <w:rPr>
                <w:b w:val="false"/>
                <w:bCs w:val="false"/>
                <w:color w:val="000000"/>
                <w:sz w:val="18"/>
                <w:szCs w:val="18"/>
              </w:rPr>
              <w:t>7.94%</w:t>
            </w:r>
          </w:p>
        </w:tc>
      </w:tr>
      <w:tr>
        <w:tc>
          <w:tcPr>
            <w:tcW w:type="dxa" w:w="1600"/>
            <w:tcMar>
              <w:top w:type="dxa" w:w="60"/>
              <w:left w:type="dxa" w:w="100"/>
              <w:bottom w:type="dxa" w:w="60"/>
              <w:right w:type="dxa" w:w="100"/>
            </w:tcMar>
            <w:vAlign w:val="center"/>
          </w:tcPr>
          <w:p>
            <w:r>
              <w:rPr>
                <w:b w:val="false"/>
                <w:bCs w:val="false"/>
                <w:color w:val="000000"/>
                <w:sz w:val="18"/>
                <w:szCs w:val="18"/>
              </w:rPr>
              <w:t xml:space="preserve">META</w:t>
            </w:r>
          </w:p>
        </w:tc>
        <w:tc>
          <w:tcPr>
            <w:tcW w:type="dxa" w:w="6200"/>
            <w:tcMar>
              <w:top w:type="dxa" w:w="60"/>
              <w:left w:type="dxa" w:w="100"/>
              <w:bottom w:type="dxa" w:w="60"/>
              <w:right w:type="dxa" w:w="100"/>
            </w:tcMar>
            <w:vAlign w:val="center"/>
          </w:tcPr>
          <w:p>
            <w:r>
              <w:rPr>
                <w:b w:val="false"/>
                <w:bCs w:val="false"/>
                <w:color w:val="000000"/>
                <w:sz w:val="18"/>
                <w:szCs w:val="18"/>
              </w:rPr>
              <w:t xml:space="preserve">Hyperscaler AI capex spender</w:t>
            </w:r>
          </w:p>
        </w:tc>
        <w:tc>
          <w:tcPr>
            <w:tcW w:type="dxa" w:w="1800"/>
            <w:tcMar>
              <w:top w:type="dxa" w:w="60"/>
              <w:left w:type="dxa" w:w="100"/>
              <w:bottom w:type="dxa" w:w="60"/>
              <w:right w:type="dxa" w:w="100"/>
            </w:tcMar>
            <w:vAlign w:val="center"/>
          </w:tcPr>
          <w:p>
            <w:r>
              <w:rPr>
                <w:b w:val="false"/>
                <w:bCs w:val="false"/>
                <w:color w:val="000000"/>
                <w:sz w:val="18"/>
                <w:szCs w:val="18"/>
              </w:rPr>
              <w:t xml:space="preserve">8.75%</w:t>
            </w:r>
          </w:p>
        </w:tc>
      </w:tr>
      <w:tr>
        <w:tc>
          <w:tcPr>
            <w:tcW w:type="dxa" w:w="1600"/>
            <w:tcMar>
              <w:top w:type="dxa" w:w="60"/>
              <w:left w:type="dxa" w:w="100"/>
              <w:bottom w:type="dxa" w:w="60"/>
              <w:right w:type="dxa" w:w="100"/>
            </w:tcMar>
            <w:vAlign w:val="center"/>
          </w:tcPr>
          <w:p>
            <w:r>
              <w:rPr>
                <w:b w:val="false"/>
                <w:bCs w:val="false"/>
                <w:color w:val="000000"/>
                <w:sz w:val="18"/>
                <w:szCs w:val="18"/>
              </w:rPr>
              <w:t xml:space="preserve">AMD</w:t>
            </w:r>
          </w:p>
        </w:tc>
        <w:tc>
          <w:tcPr>
            <w:tcW w:type="dxa" w:w="6200"/>
            <w:tcMar>
              <w:top w:type="dxa" w:w="60"/>
              <w:left w:type="dxa" w:w="100"/>
              <w:bottom w:type="dxa" w:w="60"/>
              <w:right w:type="dxa" w:w="100"/>
            </w:tcMar>
            <w:vAlign w:val="center"/>
          </w:tcPr>
          <w:p>
            <w:r>
              <w:rPr>
                <w:b w:val="false"/>
                <w:bCs w:val="false"/>
                <w:color w:val="000000"/>
                <w:sz w:val="18"/>
                <w:szCs w:val="18"/>
              </w:rPr>
              <w:t xml:space="preserve">Semiconductors / memory tied to AI capex</w:t>
            </w:r>
          </w:p>
        </w:tc>
        <w:tc>
          <w:tcPr>
            <w:tcW w:type="dxa" w:w="1800"/>
            <w:tcMar>
              <w:top w:type="dxa" w:w="60"/>
              <w:left w:type="dxa" w:w="100"/>
              <w:bottom w:type="dxa" w:w="60"/>
              <w:right w:type="dxa" w:w="100"/>
            </w:tcMar>
            <w:vAlign w:val="center"/>
          </w:tcPr>
          <w:p>
            <w:r>
              <w:rPr>
                <w:b w:val="false"/>
                <w:bCs w:val="false"/>
                <w:color w:val="000000"/>
                <w:sz w:val="18"/>
                <w:szCs w:val="18"/>
              </w:rPr>
              <w:t xml:space="preserve">8.32%</w:t>
            </w:r>
          </w:p>
        </w:tc>
      </w:tr>
      <w:tr>
        <w:tc>
          <w:tcPr>
            <w:tcW w:type="dxa" w:w="1600"/>
            <w:tcMar>
              <w:top w:type="dxa" w:w="60"/>
              <w:left w:type="dxa" w:w="100"/>
              <w:bottom w:type="dxa" w:w="60"/>
              <w:right w:type="dxa" w:w="100"/>
            </w:tcMar>
            <w:vAlign w:val="center"/>
          </w:tcPr>
          <w:p>
            <w:r>
              <w:rPr>
                <w:b w:val="false"/>
                <w:bCs w:val="false"/>
                <w:color w:val="000000"/>
                <w:sz w:val="18"/>
                <w:szCs w:val="18"/>
              </w:rPr>
              <w:t xml:space="preserve">MU</w:t>
            </w:r>
          </w:p>
        </w:tc>
        <w:tc>
          <w:tcPr>
            <w:tcW w:type="dxa" w:w="6200"/>
            <w:tcMar>
              <w:top w:type="dxa" w:w="60"/>
              <w:left w:type="dxa" w:w="100"/>
              <w:bottom w:type="dxa" w:w="60"/>
              <w:right w:type="dxa" w:w="100"/>
            </w:tcMar>
            <w:vAlign w:val="center"/>
          </w:tcPr>
          <w:p>
            <w:r>
              <w:rPr>
                <w:b w:val="false"/>
                <w:bCs w:val="false"/>
                <w:color w:val="000000"/>
                <w:sz w:val="18"/>
                <w:szCs w:val="18"/>
              </w:rPr>
              <w:t xml:space="preserve">Semiconductors / memory tied to AI capex</w:t>
            </w:r>
          </w:p>
        </w:tc>
        <w:tc>
          <w:tcPr>
            <w:tcW w:type="dxa" w:w="1800"/>
            <w:tcMar>
              <w:top w:type="dxa" w:w="60"/>
              <w:left w:type="dxa" w:w="100"/>
              <w:bottom w:type="dxa" w:w="60"/>
              <w:right w:type="dxa" w:w="100"/>
            </w:tcMar>
            <w:vAlign w:val="center"/>
          </w:tcPr>
          <w:p>
            <w:r>
              <w:rPr>
                <w:b w:val="false"/>
                <w:bCs w:val="false"/>
                <w:color w:val="000000"/>
                <w:sz w:val="18"/>
                <w:szCs w:val="18"/>
              </w:rPr>
              <w:t xml:space="preserve">5.78%</w:t>
            </w:r>
          </w:p>
        </w:tc>
      </w:tr>
      <w:tr>
        <w:tc>
          <w:tcPr>
            <w:tcW w:type="dxa" w:w="1600"/>
            <w:tcMar>
              <w:top w:type="dxa" w:w="60"/>
              <w:left w:type="dxa" w:w="100"/>
              <w:bottom w:type="dxa" w:w="60"/>
              <w:right w:type="dxa" w:w="100"/>
            </w:tcMar>
            <w:vAlign w:val="center"/>
          </w:tcPr>
          <w:p>
            <w:r>
              <w:rPr>
                <w:b w:val="false"/>
                <w:bCs w:val="false"/>
                <w:color w:val="000000"/>
                <w:sz w:val="18"/>
                <w:szCs w:val="18"/>
              </w:rPr>
              <w:t xml:space="preserve">PANW</w:t>
            </w:r>
          </w:p>
        </w:tc>
        <w:tc>
          <w:tcPr>
            <w:tcW w:type="dxa" w:w="6200"/>
            <w:tcMar>
              <w:top w:type="dxa" w:w="60"/>
              <w:left w:type="dxa" w:w="100"/>
              <w:bottom w:type="dxa" w:w="60"/>
              <w:right w:type="dxa" w:w="100"/>
            </w:tcMar>
            <w:vAlign w:val="center"/>
          </w:tcPr>
          <w:p>
            <w:r>
              <w:rPr>
                <w:b w:val="false"/>
                <w:bCs w:val="false"/>
                <w:color w:val="000000"/>
                <w:sz w:val="18"/>
                <w:szCs w:val="18"/>
              </w:rPr>
              <w:t xml:space="preserve">Enterprise software tied to AI capex</w:t>
            </w:r>
          </w:p>
        </w:tc>
        <w:tc>
          <w:tcPr>
            <w:tcW w:type="dxa" w:w="1800"/>
            <w:tcMar>
              <w:top w:type="dxa" w:w="60"/>
              <w:left w:type="dxa" w:w="100"/>
              <w:bottom w:type="dxa" w:w="60"/>
              <w:right w:type="dxa" w:w="100"/>
            </w:tcMar>
            <w:vAlign w:val="center"/>
          </w:tcPr>
          <w:p>
            <w:r>
              <w:rPr>
                <w:b w:val="false"/>
                <w:bCs w:val="false"/>
                <w:color w:val="000000"/>
                <w:sz w:val="18"/>
                <w:szCs w:val="18"/>
              </w:rPr>
              <w:t xml:space="preserve">5.05%</w:t>
            </w:r>
          </w:p>
        </w:tc>
      </w:tr>
      <w:tr>
        <w:tc>
          <w:tcPr>
            <w:tcW w:type="dxa" w:w="1600"/>
            <w:tcMar>
              <w:top w:type="dxa" w:w="60"/>
              <w:left w:type="dxa" w:w="100"/>
              <w:bottom w:type="dxa" w:w="60"/>
              <w:right w:type="dxa" w:w="100"/>
            </w:tcMar>
            <w:vAlign w:val="center"/>
          </w:tcPr>
          <w:p>
            <w:r>
              <w:rPr>
                <w:b w:val="false"/>
                <w:bCs w:val="false"/>
                <w:color w:val="000000"/>
                <w:sz w:val="18"/>
                <w:szCs w:val="18"/>
              </w:rPr>
              <w:t xml:space="preserve">INTC</w:t>
            </w:r>
          </w:p>
        </w:tc>
        <w:tc>
          <w:tcPr>
            <w:tcW w:type="dxa" w:w="6200"/>
            <w:tcMar>
              <w:top w:type="dxa" w:w="60"/>
              <w:left w:type="dxa" w:w="100"/>
              <w:bottom w:type="dxa" w:w="60"/>
              <w:right w:type="dxa" w:w="100"/>
            </w:tcMar>
            <w:vAlign w:val="center"/>
          </w:tcPr>
          <w:p>
            <w:r>
              <w:rPr>
                <w:b w:val="false"/>
                <w:bCs w:val="false"/>
                <w:color w:val="000000"/>
                <w:sz w:val="18"/>
                <w:szCs w:val="18"/>
              </w:rPr>
              <w:t xml:space="preserve">Semiconductors / memory tied to AI capex</w:t>
            </w:r>
          </w:p>
        </w:tc>
        <w:tc>
          <w:tcPr>
            <w:tcW w:type="dxa" w:w="1800"/>
            <w:tcMar>
              <w:top w:type="dxa" w:w="60"/>
              <w:left w:type="dxa" w:w="100"/>
              <w:bottom w:type="dxa" w:w="60"/>
              <w:right w:type="dxa" w:w="100"/>
            </w:tcMar>
            <w:vAlign w:val="center"/>
          </w:tcPr>
          <w:p>
            <w:r>
              <w:rPr>
                <w:b w:val="false"/>
                <w:bCs w:val="false"/>
                <w:color w:val="000000"/>
                <w:sz w:val="18"/>
                <w:szCs w:val="18"/>
              </w:rPr>
              <w:t xml:space="preserve">4.33%</w:t>
            </w:r>
          </w:p>
        </w:tc>
      </w:tr>
      <w:tr>
        <w:tc>
          <w:tcPr>
            <w:tcW w:type="dxa" w:w="1600"/>
            <w:tcMar>
              <w:top w:type="dxa" w:w="60"/>
              <w:left w:type="dxa" w:w="100"/>
              <w:bottom w:type="dxa" w:w="60"/>
              <w:right w:type="dxa" w:w="100"/>
            </w:tcMar>
            <w:vAlign w:val="center"/>
          </w:tcPr>
          <w:p>
            <w:r>
              <w:rPr>
                <w:b w:val="false"/>
                <w:bCs w:val="false"/>
                <w:color w:val="000000"/>
                <w:sz w:val="18"/>
                <w:szCs w:val="18"/>
              </w:rPr>
              <w:t xml:space="preserve">TLN</w:t>
            </w:r>
          </w:p>
        </w:tc>
        <w:tc>
          <w:tcPr>
            <w:tcW w:type="dxa" w:w="6200"/>
            <w:tcMar>
              <w:top w:type="dxa" w:w="60"/>
              <w:left w:type="dxa" w:w="100"/>
              <w:bottom w:type="dxa" w:w="60"/>
              <w:right w:type="dxa" w:w="100"/>
            </w:tcMar>
            <w:vAlign w:val="center"/>
          </w:tcPr>
          <w:p>
            <w:r>
              <w:rPr>
                <w:b w:val="false"/>
                <w:bCs w:val="false"/>
                <w:color w:val="000000"/>
                <w:sz w:val="18"/>
                <w:szCs w:val="18"/>
              </w:rPr>
              <w:t xml:space="preserve">AI data-center / power infrastructure</w:t>
            </w:r>
          </w:p>
        </w:tc>
        <w:tc>
          <w:tcPr>
            <w:tcW w:type="dxa" w:w="1800"/>
            <w:tcMar>
              <w:top w:type="dxa" w:w="60"/>
              <w:left w:type="dxa" w:w="100"/>
              <w:bottom w:type="dxa" w:w="60"/>
              <w:right w:type="dxa" w:w="100"/>
            </w:tcMar>
            <w:vAlign w:val="center"/>
          </w:tcPr>
          <w:p>
            <w:r>
              <w:rPr>
                <w:b w:val="false"/>
                <w:bCs w:val="false"/>
                <w:color w:val="000000"/>
                <w:sz w:val="18"/>
                <w:szCs w:val="18"/>
              </w:rPr>
              <w:t xml:space="preserve">3.41%</w:t>
            </w:r>
          </w:p>
        </w:tc>
      </w:tr>
      <w:tr>
        <w:tc>
          <w:tcPr>
            <w:tcW w:type="dxa" w:w="1600"/>
            <w:tcMar>
              <w:top w:type="dxa" w:w="60"/>
              <w:left w:type="dxa" w:w="100"/>
              <w:bottom w:type="dxa" w:w="60"/>
              <w:right w:type="dxa" w:w="100"/>
            </w:tcMar>
            <w:vAlign w:val="center"/>
          </w:tcPr>
          <w:p>
            <w:r>
              <w:rPr>
                <w:b w:val="false"/>
                <w:bCs w:val="false"/>
                <w:color w:val="000000"/>
                <w:sz w:val="18"/>
                <w:szCs w:val="18"/>
              </w:rPr>
              <w:t xml:space="preserve">NBIL</w:t>
            </w:r>
          </w:p>
        </w:tc>
        <w:tc>
          <w:tcPr>
            <w:tcW w:type="dxa" w:w="6200"/>
            <w:tcMar>
              <w:top w:type="dxa" w:w="60"/>
              <w:left w:type="dxa" w:w="100"/>
              <w:bottom w:type="dxa" w:w="60"/>
              <w:right w:type="dxa" w:w="100"/>
            </w:tcMar>
            <w:vAlign w:val="center"/>
          </w:tcPr>
          <w:p>
            <w:r>
              <w:rPr>
                <w:b w:val="false"/>
                <w:bCs w:val="false"/>
                <w:color w:val="000000"/>
                <w:sz w:val="18"/>
                <w:szCs w:val="18"/>
              </w:rPr>
              <w:t xml:space="preserve">AI data-center / compute (leveraged)</w:t>
            </w:r>
          </w:p>
        </w:tc>
        <w:tc>
          <w:tcPr>
            <w:tcW w:type="dxa" w:w="1800"/>
            <w:tcMar>
              <w:top w:type="dxa" w:w="60"/>
              <w:left w:type="dxa" w:w="100"/>
              <w:bottom w:type="dxa" w:w="60"/>
              <w:right w:type="dxa" w:w="100"/>
            </w:tcMar>
            <w:vAlign w:val="center"/>
          </w:tcPr>
          <w:p>
            <w:r>
              <w:rPr>
                <w:b w:val="false"/>
                <w:bCs w:val="false"/>
                <w:color w:val="000000"/>
                <w:sz w:val="18"/>
                <w:szCs w:val="18"/>
              </w:rPr>
              <w:t xml:space="preserve">2.81%</w:t>
            </w:r>
          </w:p>
        </w:tc>
      </w:tr>
      <w:tr>
        <w:tc>
          <w:tcPr>
            <w:tcW w:type="dxa" w:w="1600"/>
            <w:tcMar>
              <w:top w:type="dxa" w:w="60"/>
              <w:left w:type="dxa" w:w="100"/>
              <w:bottom w:type="dxa" w:w="60"/>
              <w:right w:type="dxa" w:w="100"/>
            </w:tcMar>
            <w:vAlign w:val="center"/>
          </w:tcPr>
          <w:p>
            <w:r>
              <w:rPr>
                <w:b w:val="false"/>
                <w:bCs w:val="false"/>
                <w:color w:val="000000"/>
                <w:sz w:val="18"/>
                <w:szCs w:val="18"/>
              </w:rPr>
              <w:t xml:space="preserve">DDOG</w:t>
            </w:r>
          </w:p>
        </w:tc>
        <w:tc>
          <w:tcPr>
            <w:tcW w:type="dxa" w:w="6200"/>
            <w:tcMar>
              <w:top w:type="dxa" w:w="60"/>
              <w:left w:type="dxa" w:w="100"/>
              <w:bottom w:type="dxa" w:w="60"/>
              <w:right w:type="dxa" w:w="100"/>
            </w:tcMar>
            <w:vAlign w:val="center"/>
          </w:tcPr>
          <w:p>
            <w:r>
              <w:rPr>
                <w:b w:val="false"/>
                <w:bCs w:val="false"/>
                <w:color w:val="000000"/>
                <w:sz w:val="18"/>
                <w:szCs w:val="18"/>
              </w:rPr>
              <w:t xml:space="preserve">Enterprise software tied to AI capex</w:t>
            </w:r>
          </w:p>
        </w:tc>
        <w:tc>
          <w:tcPr>
            <w:tcW w:type="dxa" w:w="1800"/>
            <w:tcMar>
              <w:top w:type="dxa" w:w="60"/>
              <w:left w:type="dxa" w:w="100"/>
              <w:bottom w:type="dxa" w:w="60"/>
              <w:right w:type="dxa" w:w="100"/>
            </w:tcMar>
            <w:vAlign w:val="center"/>
          </w:tcPr>
          <w:p>
            <w:r>
              <w:rPr>
                <w:b w:val="false"/>
                <w:bCs w:val="false"/>
                <w:color w:val="000000"/>
                <w:sz w:val="18"/>
                <w:szCs w:val="18"/>
              </w:rPr>
              <w:t xml:space="preserve">2.22%</w:t>
            </w:r>
          </w:p>
        </w:tc>
      </w:tr>
      <w:tr>
        <w:tc>
          <w:tcPr>
            <w:tcW w:type="dxa" w:w="1600"/>
            <w:tcMar>
              <w:top w:type="dxa" w:w="60"/>
              <w:left w:type="dxa" w:w="100"/>
              <w:bottom w:type="dxa" w:w="60"/>
              <w:right w:type="dxa" w:w="100"/>
            </w:tcMar>
            <w:vAlign w:val="center"/>
          </w:tcPr>
          <w:p>
            <w:r>
              <w:rPr>
                <w:b w:val="false"/>
                <w:bCs w:val="false"/>
                <w:color w:val="000000"/>
                <w:sz w:val="18"/>
                <w:szCs w:val="18"/>
              </w:rPr>
              <w:t xml:space="preserve">NOW</w:t>
            </w:r>
          </w:p>
        </w:tc>
        <w:tc>
          <w:tcPr>
            <w:tcW w:type="dxa" w:w="6200"/>
            <w:tcMar>
              <w:top w:type="dxa" w:w="60"/>
              <w:left w:type="dxa" w:w="100"/>
              <w:bottom w:type="dxa" w:w="60"/>
              <w:right w:type="dxa" w:w="100"/>
            </w:tcMar>
            <w:vAlign w:val="center"/>
          </w:tcPr>
          <w:p>
            <w:r>
              <w:rPr>
                <w:b w:val="false"/>
                <w:bCs w:val="false"/>
                <w:color w:val="000000"/>
                <w:sz w:val="18"/>
                <w:szCs w:val="18"/>
              </w:rPr>
              <w:t xml:space="preserve">Enterprise software tied to AI capex</w:t>
            </w:r>
          </w:p>
        </w:tc>
        <w:tc>
          <w:tcPr>
            <w:tcW w:type="dxa" w:w="1800"/>
            <w:tcMar>
              <w:top w:type="dxa" w:w="60"/>
              <w:left w:type="dxa" w:w="100"/>
              <w:bottom w:type="dxa" w:w="60"/>
              <w:right w:type="dxa" w:w="100"/>
            </w:tcMar>
            <w:vAlign w:val="center"/>
          </w:tcPr>
          <w:p>
            <w:r>
              <w:rPr>
                <w:b w:val="false"/>
                <w:bCs w:val="false"/>
                <w:color w:val="000000"/>
                <w:sz w:val="18"/>
                <w:szCs w:val="18"/>
              </w:rPr>
              <w:t xml:space="preserve">1.73%</w:t>
            </w:r>
          </w:p>
        </w:tc>
      </w:tr>
      <w:tr>
        <w:tc>
          <w:tcPr>
            <w:tcW w:type="dxa" w:w="1600"/>
            <w:tcMar>
              <w:top w:type="dxa" w:w="60"/>
              <w:left w:type="dxa" w:w="100"/>
              <w:bottom w:type="dxa" w:w="60"/>
              <w:right w:type="dxa" w:w="100"/>
            </w:tcMar>
            <w:vAlign w:val="center"/>
          </w:tcPr>
          <w:p>
            <w:r>
              <w:rPr>
                <w:b w:val="false"/>
                <w:bCs w:val="false"/>
                <w:color w:val="000000"/>
                <w:sz w:val="18"/>
                <w:szCs w:val="18"/>
              </w:rPr>
              <w:t xml:space="preserve">AVGO</w:t>
            </w:r>
          </w:p>
        </w:tc>
        <w:tc>
          <w:tcPr>
            <w:tcW w:type="dxa" w:w="6200"/>
            <w:tcMar>
              <w:top w:type="dxa" w:w="60"/>
              <w:left w:type="dxa" w:w="100"/>
              <w:bottom w:type="dxa" w:w="60"/>
              <w:right w:type="dxa" w:w="100"/>
            </w:tcMar>
            <w:vAlign w:val="center"/>
          </w:tcPr>
          <w:p>
            <w:r>
              <w:rPr>
                <w:b w:val="false"/>
                <w:bCs w:val="false"/>
                <w:color w:val="000000"/>
                <w:sz w:val="18"/>
                <w:szCs w:val="18"/>
              </w:rPr>
              <w:t xml:space="preserve">Semiconductors / memory tied to AI capex</w:t>
            </w:r>
          </w:p>
        </w:tc>
        <w:tc>
          <w:tcPr>
            <w:tcW w:type="dxa" w:w="1800"/>
            <w:tcMar>
              <w:top w:type="dxa" w:w="60"/>
              <w:left w:type="dxa" w:w="100"/>
              <w:bottom w:type="dxa" w:w="60"/>
              <w:right w:type="dxa" w:w="100"/>
            </w:tcMar>
            <w:vAlign w:val="center"/>
          </w:tcPr>
          <w:p>
            <w:r>
              <w:rPr>
                <w:b w:val="false"/>
                <w:bCs w:val="false"/>
                <w:color w:val="000000"/>
                <w:sz w:val="18"/>
                <w:szCs w:val="18"/>
              </w:rPr>
              <w:t xml:space="preserve">1.60%</w:t>
            </w:r>
          </w:p>
        </w:tc>
      </w:tr>
      <w:tr>
        <w:tc>
          <w:tcPr>
            <w:tcW w:type="dxa" w:w="1600"/>
            <w:tcMar>
              <w:top w:type="dxa" w:w="60"/>
              <w:left w:type="dxa" w:w="100"/>
              <w:bottom w:type="dxa" w:w="60"/>
              <w:right w:type="dxa" w:w="100"/>
            </w:tcMar>
            <w:vAlign w:val="center"/>
          </w:tcPr>
          <w:p>
            <w:r>
              <w:rPr>
                <w:b w:val="false"/>
                <w:bCs w:val="false"/>
                <w:color w:val="000000"/>
                <w:sz w:val="18"/>
                <w:szCs w:val="18"/>
              </w:rPr>
              <w:t xml:space="preserve">FTNT</w:t>
            </w:r>
          </w:p>
        </w:tc>
        <w:tc>
          <w:tcPr>
            <w:tcW w:type="dxa" w:w="6200"/>
            <w:tcMar>
              <w:top w:type="dxa" w:w="60"/>
              <w:left w:type="dxa" w:w="100"/>
              <w:bottom w:type="dxa" w:w="60"/>
              <w:right w:type="dxa" w:w="100"/>
            </w:tcMar>
            <w:vAlign w:val="center"/>
          </w:tcPr>
          <w:p>
            <w:r>
              <w:rPr>
                <w:b w:val="false"/>
                <w:bCs w:val="false"/>
                <w:color w:val="000000"/>
                <w:sz w:val="18"/>
                <w:szCs w:val="18"/>
              </w:rPr>
              <w:t xml:space="preserve">Enterprise software tied to AI capex</w:t>
            </w:r>
          </w:p>
        </w:tc>
        <w:tc>
          <w:tcPr>
            <w:tcW w:type="dxa" w:w="1800"/>
            <w:tcMar>
              <w:top w:type="dxa" w:w="60"/>
              <w:left w:type="dxa" w:w="100"/>
              <w:bottom w:type="dxa" w:w="60"/>
              <w:right w:type="dxa" w:w="100"/>
            </w:tcMar>
            <w:vAlign w:val="center"/>
          </w:tcPr>
          <w:p>
            <w:r>
              <w:rPr>
                <w:b w:val="false"/>
                <w:bCs w:val="false"/>
                <w:color w:val="000000"/>
                <w:sz w:val="18"/>
                <w:szCs w:val="18"/>
              </w:rPr>
              <w:t xml:space="preserve">1.40%</w:t>
            </w:r>
          </w:p>
        </w:tc>
      </w:tr>
      <w:tr>
        <w:tc>
          <w:tcPr>
            <w:tcW w:type="dxa" w:w="1600"/>
            <w:tcMar>
              <w:top w:type="dxa" w:w="60"/>
              <w:left w:type="dxa" w:w="100"/>
              <w:bottom w:type="dxa" w:w="60"/>
              <w:right w:type="dxa" w:w="100"/>
            </w:tcMar>
            <w:vAlign w:val="center"/>
          </w:tcPr>
          <w:p>
            <w:r>
              <w:rPr>
                <w:b w:val="false"/>
                <w:bCs w:val="false"/>
                <w:color w:val="000000"/>
                <w:sz w:val="18"/>
                <w:szCs w:val="18"/>
              </w:rPr>
              <w:t xml:space="preserve">WYFI</w:t>
            </w:r>
          </w:p>
        </w:tc>
        <w:tc>
          <w:tcPr>
            <w:tcW w:type="dxa" w:w="6200"/>
            <w:tcMar>
              <w:top w:type="dxa" w:w="60"/>
              <w:left w:type="dxa" w:w="100"/>
              <w:bottom w:type="dxa" w:w="60"/>
              <w:right w:type="dxa" w:w="100"/>
            </w:tcMar>
            <w:vAlign w:val="center"/>
          </w:tcPr>
          <w:p>
            <w:r>
              <w:rPr>
                <w:b w:val="false"/>
                <w:bCs w:val="false"/>
                <w:color w:val="000000"/>
                <w:sz w:val="18"/>
                <w:szCs w:val="18"/>
              </w:rPr>
              <w:t xml:space="preserve">AI data-center / compute infrastructure</w:t>
            </w:r>
          </w:p>
        </w:tc>
        <w:tc>
          <w:tcPr>
            <w:tcW w:type="dxa" w:w="1800"/>
            <w:tcMar>
              <w:top w:type="dxa" w:w="60"/>
              <w:left w:type="dxa" w:w="100"/>
              <w:bottom w:type="dxa" w:w="60"/>
              <w:right w:type="dxa" w:w="100"/>
            </w:tcMar>
            <w:vAlign w:val="center"/>
          </w:tcPr>
          <w:p>
            <w:r>
              <w:rPr>
                <w:b w:val="false"/>
                <w:bCs w:val="false"/>
                <w:color w:val="000000"/>
                <w:sz w:val="18"/>
                <w:szCs w:val="18"/>
              </w:rPr>
              <w:t xml:space="preserve">1.18%</w:t>
            </w:r>
          </w:p>
        </w:tc>
      </w:tr>
      <w:tr>
        <w:tc>
          <w:tcPr>
            <w:tcW w:type="dxa" w:w="1600"/>
            <w:tcMar>
              <w:top w:type="dxa" w:w="60"/>
              <w:left w:type="dxa" w:w="100"/>
              <w:bottom w:type="dxa" w:w="60"/>
              <w:right w:type="dxa" w:w="100"/>
            </w:tcMar>
            <w:vAlign w:val="center"/>
          </w:tcPr>
          <w:p>
            <w:r>
              <w:rPr>
                <w:b w:val="false"/>
                <w:bCs w:val="false"/>
                <w:color w:val="000000"/>
                <w:sz w:val="18"/>
                <w:szCs w:val="18"/>
              </w:rPr>
              <w:t xml:space="preserve">CRWV</w:t>
            </w:r>
          </w:p>
        </w:tc>
        <w:tc>
          <w:tcPr>
            <w:tcW w:type="dxa" w:w="6200"/>
            <w:tcMar>
              <w:top w:type="dxa" w:w="60"/>
              <w:left w:type="dxa" w:w="100"/>
              <w:bottom w:type="dxa" w:w="60"/>
              <w:right w:type="dxa" w:w="100"/>
            </w:tcMar>
            <w:vAlign w:val="center"/>
          </w:tcPr>
          <w:p>
            <w:r>
              <w:rPr>
                <w:b w:val="false"/>
                <w:bCs w:val="false"/>
                <w:color w:val="000000"/>
                <w:sz w:val="18"/>
                <w:szCs w:val="18"/>
              </w:rPr>
              <w:t xml:space="preserve">AI data-center / compute infrastructure</w:t>
            </w:r>
          </w:p>
        </w:tc>
        <w:tc>
          <w:tcPr>
            <w:tcW w:type="dxa" w:w="1800"/>
            <w:tcMar>
              <w:top w:type="dxa" w:w="60"/>
              <w:left w:type="dxa" w:w="100"/>
              <w:bottom w:type="dxa" w:w="60"/>
              <w:right w:type="dxa" w:w="100"/>
            </w:tcMar>
            <w:vAlign w:val="center"/>
          </w:tcPr>
          <w:p>
            <w:r>
              <w:rPr>
                <w:b w:val="false"/>
                <w:bCs w:val="false"/>
                <w:color w:val="000000"/>
                <w:sz w:val="18"/>
                <w:szCs w:val="18"/>
              </w:rPr>
              <w:t xml:space="preserve">1.25%</w:t>
            </w:r>
          </w:p>
        </w:tc>
      </w:tr>
      <w:tr>
        <w:tc>
          <w:tcPr>
            <w:tcW w:type="dxa" w:w="1600"/>
            <w:tcMar>
              <w:top w:type="dxa" w:w="60"/>
              <w:left w:type="dxa" w:w="100"/>
              <w:bottom w:type="dxa" w:w="60"/>
              <w:right w:type="dxa" w:w="100"/>
            </w:tcMar>
            <w:vAlign w:val="center"/>
          </w:tcPr>
          <w:p>
            <w:r>
              <w:rPr>
                <w:b w:val="false"/>
                <w:bCs w:val="false"/>
                <w:color w:val="000000"/>
                <w:sz w:val="18"/>
                <w:szCs w:val="18"/>
              </w:rPr>
              <w:t xml:space="preserve">NBIS</w:t>
            </w:r>
          </w:p>
        </w:tc>
        <w:tc>
          <w:tcPr>
            <w:tcW w:type="dxa" w:w="6200"/>
            <w:tcMar>
              <w:top w:type="dxa" w:w="60"/>
              <w:left w:type="dxa" w:w="100"/>
              <w:bottom w:type="dxa" w:w="60"/>
              <w:right w:type="dxa" w:w="100"/>
            </w:tcMar>
            <w:vAlign w:val="center"/>
          </w:tcPr>
          <w:p>
            <w:r>
              <w:rPr>
                <w:b w:val="false"/>
                <w:bCs w:val="false"/>
                <w:color w:val="000000"/>
                <w:sz w:val="18"/>
                <w:szCs w:val="18"/>
              </w:rPr>
              <w:t xml:space="preserve">AI data-center / compute infrastructure</w:t>
            </w:r>
          </w:p>
        </w:tc>
        <w:tc>
          <w:tcPr>
            <w:tcW w:type="dxa" w:w="1800"/>
            <w:tcMar>
              <w:top w:type="dxa" w:w="60"/>
              <w:left w:type="dxa" w:w="100"/>
              <w:bottom w:type="dxa" w:w="60"/>
              <w:right w:type="dxa" w:w="100"/>
            </w:tcMar>
            <w:vAlign w:val="center"/>
          </w:tcPr>
          <w:p>
            <w:r>
              <w:rPr>
                <w:b w:val="false"/>
                <w:bCs w:val="false"/>
                <w:color w:val="000000"/>
                <w:sz w:val="18"/>
                <w:szCs w:val="18"/>
              </w:rPr>
              <w:t xml:space="preserve">1.31%</w:t>
            </w:r>
          </w:p>
        </w:tc>
      </w:tr>
      <w:tr>
        <w:tc>
          <w:tcPr>
            <w:tcW w:type="dxa" w:w="1600"/>
            <w:tcMar>
              <w:top w:type="dxa" w:w="60"/>
              <w:left w:type="dxa" w:w="100"/>
              <w:bottom w:type="dxa" w:w="60"/>
              <w:right w:type="dxa" w:w="100"/>
            </w:tcMar>
            <w:vAlign w:val="center"/>
          </w:tcPr>
          <w:p>
            <w:r>
              <w:rPr>
                <w:b w:val="false"/>
                <w:bCs w:val="false"/>
                <w:color w:val="000000"/>
                <w:sz w:val="18"/>
                <w:szCs w:val="18"/>
              </w:rPr>
              <w:t xml:space="preserve">CRWD</w:t>
            </w:r>
          </w:p>
        </w:tc>
        <w:tc>
          <w:tcPr>
            <w:tcW w:type="dxa" w:w="6200"/>
            <w:tcMar>
              <w:top w:type="dxa" w:w="60"/>
              <w:left w:type="dxa" w:w="100"/>
              <w:bottom w:type="dxa" w:w="60"/>
              <w:right w:type="dxa" w:w="100"/>
            </w:tcMar>
            <w:vAlign w:val="center"/>
          </w:tcPr>
          <w:p>
            <w:r>
              <w:rPr>
                <w:b w:val="false"/>
                <w:bCs w:val="false"/>
                <w:color w:val="000000"/>
                <w:sz w:val="18"/>
                <w:szCs w:val="18"/>
              </w:rPr>
              <w:t xml:space="preserve">Enterprise software tied to AI capex</w:t>
            </w:r>
          </w:p>
        </w:tc>
        <w:tc>
          <w:tcPr>
            <w:tcW w:type="dxa" w:w="1800"/>
            <w:tcMar>
              <w:top w:type="dxa" w:w="60"/>
              <w:left w:type="dxa" w:w="100"/>
              <w:bottom w:type="dxa" w:w="60"/>
              <w:right w:type="dxa" w:w="100"/>
            </w:tcMar>
            <w:vAlign w:val="center"/>
          </w:tcPr>
          <w:p>
            <w:r>
              <w:rPr>
                <w:b w:val="false"/>
                <w:bCs w:val="false"/>
                <w:color w:val="000000"/>
                <w:sz w:val="18"/>
                <w:szCs w:val="18"/>
              </w:rPr>
              <w:t xml:space="preserve">1.14%</w:t>
            </w:r>
          </w:p>
        </w:tc>
      </w:tr>
      <w:tr>
        <w:tc>
          <w:tcPr>
            <w:tcW w:type="dxa" w:w="1600"/>
            <w:tcMar>
              <w:top w:type="dxa" w:w="60"/>
              <w:left w:type="dxa" w:w="100"/>
              <w:bottom w:type="dxa" w:w="60"/>
              <w:right w:type="dxa" w:w="100"/>
            </w:tcMar>
            <w:vAlign w:val="center"/>
          </w:tcPr>
          <w:p>
            <w:r>
              <w:rPr>
                <w:b w:val="false"/>
                <w:bCs w:val="false"/>
                <w:color w:val="000000"/>
                <w:sz w:val="18"/>
                <w:szCs w:val="18"/>
              </w:rPr>
              <w:t xml:space="preserve">VST</w:t>
            </w:r>
          </w:p>
        </w:tc>
        <w:tc>
          <w:tcPr>
            <w:tcW w:type="dxa" w:w="6200"/>
            <w:tcMar>
              <w:top w:type="dxa" w:w="60"/>
              <w:left w:type="dxa" w:w="100"/>
              <w:bottom w:type="dxa" w:w="60"/>
              <w:right w:type="dxa" w:w="100"/>
            </w:tcMar>
            <w:vAlign w:val="center"/>
          </w:tcPr>
          <w:p>
            <w:r>
              <w:rPr>
                <w:b w:val="false"/>
                <w:bCs w:val="false"/>
                <w:color w:val="000000"/>
                <w:sz w:val="18"/>
                <w:szCs w:val="18"/>
              </w:rPr>
              <w:t xml:space="preserve">AI data-center / power infrastructure</w:t>
            </w:r>
          </w:p>
        </w:tc>
        <w:tc>
          <w:tcPr>
            <w:tcW w:type="dxa" w:w="1800"/>
            <w:tcMar>
              <w:top w:type="dxa" w:w="60"/>
              <w:left w:type="dxa" w:w="100"/>
              <w:bottom w:type="dxa" w:w="60"/>
              <w:right w:type="dxa" w:w="100"/>
            </w:tcMar>
            <w:vAlign w:val="center"/>
          </w:tcPr>
          <w:p>
            <w:r>
              <w:rPr>
                <w:b w:val="false"/>
                <w:bCs w:val="false"/>
                <w:color w:val="000000"/>
                <w:sz w:val="18"/>
                <w:szCs w:val="18"/>
              </w:rPr>
              <w:t xml:space="preserve">1.01%</w:t>
            </w:r>
          </w:p>
        </w:tc>
      </w:tr>
    </w:tbl>
    <w:p>
      <w:r>
        <w:br w:type="page"/>
      </w:r>
    </w:p>
    <w:p>
      <w:pPr>
        <w:pStyle w:val="Heading1"/>
        <w:spacing w:after="120" w:before="240"/>
      </w:pPr>
      <w:r>
        <w:t xml:space="preserve">B. Sector-by-Sector Competitive Landscape</w:t>
      </w:r>
    </w:p>
    <w:p>
      <w:pPr>
        <w:spacing w:after="100"/>
      </w:pPr>
      <w:r>
        <w:rPr>
          <w:sz w:val="21"/>
          <w:szCs w:val="21"/>
        </w:rPr>
        <w:t xml:space="preserve">Held names and watchlist names mapped to the site's own (non-GICS) sector taxonomy. Positioning commentary drawn from each name's coverage-book thesis and watchlist rationale.</w:t>
      </w:r>
    </w:p>
    <w:p>
      <w:pPr>
        <w:pStyle w:val="Heading2"/>
        <w:spacing w:after="120" w:before="240"/>
      </w:pPr>
      <w:r>
        <w:t xml:space="preserve">Semiconductors</w:t>
      </w:r>
    </w:p>
    <w:p>
      <w:pPr>
        <w:spacing w:after="100"/>
      </w:pPr>
      <w:r>
        <w:rPr>
          <w:b/>
          <w:bCs/>
          <w:sz w:val="21"/>
          <w:szCs w:val="21"/>
        </w:rPr>
        <w:t>Held: SNDK (7.94%, Medium), AMD (8.32%, Medium), MU (5.78%, Medium), INTC (4.33%, Medium), ARM (1.71%, Medium), AVGO (1.60%, High)</w:t>
      </w:r>
    </w:p>
    <w:p>
      <w:pPr>
        <w:spacing w:after="100"/>
      </w:pPr>
      <w:r>
        <w:rPr>
          <w:b/>
          <w:bCs/>
          <w:sz w:val="21"/>
          <w:szCs w:val="21"/>
        </w:rPr>
        <w:t xml:space="preserve">Watchlist: NVDA (watchlist, Medium)</w:t>
      </w:r>
    </w:p>
    <w:p>
      <w:pPr>
        <w:spacing w:after="100"/>
      </w:pPr>
      <w:r>
        <w:rPr>
          <w:sz w:val="21"/>
          <w:szCs w:val="21"/>
        </w:rPr>
        <w:t>The book's single largest and most concentrated sector at 28.50% — SNDK and MU are a direct memory-cycle (NAND/DRAM/HBM) pair-trade on AI-driven storage/compute demand; AMD and INTC are the CPU/accelerator and foundry-turnaround legs; AVGO is the custom-ASIC/hyperscaler-partner leg; ARM is the royalty-model leg. On the watchlist, NVDA (the consensus GPU leader), TSM (the foundry every fabless name depends on), ASML (the sole EUV lithography supplier), MRVL (custom AI silicon) and SMCI (server assembly, governance risk) round out a fuller value chain the book only partially owns.</w:t>
      </w:r>
    </w:p>
    <w:p>
      <w:pPr>
        <w:pStyle w:val="Heading2"/>
        <w:spacing w:after="120" w:before="240"/>
      </w:pPr>
      <w:r>
        <w:t xml:space="preserve">Index Funds</w:t>
      </w:r>
    </w:p>
    <w:p>
      <w:pPr>
        <w:spacing w:after="100"/>
      </w:pPr>
      <w:r>
        <w:rPr>
          <w:b/>
          <w:bCs/>
          <w:sz w:val="21"/>
          <w:szCs w:val="21"/>
        </w:rPr>
        <w:t xml:space="preserve">Held: SPY (6.76%, High), VOO (6.21%, High), QQQ (4.25%, High), SCHD (1.19%, High)</w:t>
      </w:r>
    </w:p>
    <w:p>
      <w:pPr>
        <w:spacing w:after="100"/>
      </w:pPr>
      <w:r>
        <w:rPr>
          <w:b/>
          <w:bCs/>
          <w:sz w:val="21"/>
          <w:szCs w:val="21"/>
        </w:rPr>
        <w:t xml:space="preserve">Watchlist: None mapped</w:t>
      </w:r>
    </w:p>
    <w:p>
      <w:pPr>
        <w:spacing w:after="100"/>
      </w:pPr>
      <w:r>
        <w:rPr>
          <w:sz w:val="21"/>
          <w:szCs w:val="21"/>
        </w:rPr>
        <w:t xml:space="preserve">SPY, VOO, QQQ, and SCHD form the always-held ballast sleeve (18.4% of book). SPY and VOO are near-functionally identical (1.00 correlation) — a portfolio-construction redundancy worth flagging. QQQ is a more concentrated, tech/semis-tilted hedge that moves in closer sympathy with the book's own AI/semis theme (0.68 correlation with AVGO), providing less true diversification than SPY/VOO. SCHD is the dedicated value/quality/dividend diversifier, broadly low-or-negatively correlated with the rest of the book.</w:t>
      </w:r>
    </w:p>
    <w:p>
      <w:pPr>
        <w:pStyle w:val="Heading2"/>
        <w:spacing w:after="120" w:before="240"/>
      </w:pPr>
      <w:r>
        <w:t xml:space="preserve">Communication Services</w:t>
      </w:r>
    </w:p>
    <w:p>
      <w:pPr>
        <w:spacing w:after="100"/>
      </w:pPr>
      <w:r>
        <w:rPr>
          <w:b/>
          <w:bCs/>
          <w:sz w:val="21"/>
          <w:szCs w:val="21"/>
        </w:rPr>
        <w:t xml:space="preserve">Held: META (8.75%, High), GOOGL (3.16%, High), NFLX (0.62%, Medium)</w:t>
      </w:r>
    </w:p>
    <w:p>
      <w:pPr>
        <w:spacing w:after="100"/>
      </w:pPr>
      <w:r>
        <w:rPr>
          <w:b/>
          <w:bCs/>
          <w:sz w:val="21"/>
          <w:szCs w:val="21"/>
        </w:rPr>
        <w:t xml:space="preserve">Watchlist: None mapped</w:t>
      </w:r>
    </w:p>
    <w:p>
      <w:pPr>
        <w:spacing w:after="100"/>
      </w:pPr>
      <w:r>
        <w:rPr>
          <w:sz w:val="21"/>
          <w:szCs w:val="21"/>
        </w:rPr>
        <w:t xml:space="preserve">META and GOOGL are both AI-monetizing incumbents — Meta via ad-ranking/engagement AI funded by self-generated FCF, Alphabet via Search + Cloud + Gemini. NFLX is the outlier: a post-password-crackdown growth-durability story largely uncorrelated with (and sometimes negatively correlated with) the semiconductor sleeve, making it a genuine diversifier within this sector bucket. On the watchlist, AMZN (AWS) and MSFT (Azure/Copilot) are the two hyperscaler clouds not directly owned — both would partially duplicate cloud-capex exposure already carried indirectly through NBIS/CRWV.</w:t>
      </w:r>
    </w:p>
    <w:p>
      <w:pPr>
        <w:pStyle w:val="Heading2"/>
        <w:spacing w:after="120" w:before="240"/>
      </w:pPr>
      <w:r>
        <w:t xml:space="preserve">Software &amp; Cybersecurity</w:t>
      </w:r>
    </w:p>
    <w:p>
      <w:pPr>
        <w:spacing w:after="100"/>
      </w:pPr>
      <w:r>
        <w:rPr>
          <w:b/>
          <w:bCs/>
          <w:sz w:val="21"/>
          <w:szCs w:val="21"/>
        </w:rPr>
        <w:t xml:space="preserve">Held: PANW (5.05%, High), DDOG (2.22%, High), NOW (1.73%, High), FTNT (1.40%, High), CRWD (1.14%, High)</w:t>
      </w:r>
    </w:p>
    <w:p>
      <w:pPr>
        <w:spacing w:after="100"/>
      </w:pPr>
      <w:r>
        <w:rPr>
          <w:b/>
          <w:bCs/>
          <w:sz w:val="21"/>
          <w:szCs w:val="21"/>
        </w:rPr>
        <w:t xml:space="preserve">Watchlist: None mapped</w:t>
      </w:r>
    </w:p>
    <w:p>
      <w:pPr>
        <w:spacing w:after="100"/>
      </w:pPr>
      <w:r>
        <w:rPr>
          <w:sz w:val="21"/>
          <w:szCs w:val="21"/>
        </w:rPr>
        <w:t xml:space="preserve">A tightly-clustered cybersecurity/observability block: PANW–CRWD correlation 0.88, PANW–FTNT 0.72, FTNT–CRWD 0.71, FTNT–DDOG 0.82, CRWD–DDOG 0.75, CRWD–NOW 0.68. PANW and FTNT are platform-consolidation plays on enterprise security-vendor rationalization; CRWD carries a specific reputational overhang from its 2024 outage; DDOG and NOW are AI-workload-observability and agentic-workflow growth stories, respectively, layered onto the same broader software-spend thesis. Watchlist names ORCL (OCI cloud-capacity story) and CRM (Agentforce AI-agent bet) sit adjacent but are not yet owned pending more disclosure on durable growth attribution.</w:t>
      </w:r>
    </w:p>
    <w:p>
      <w:pPr>
        <w:pStyle w:val="Heading2"/>
        <w:spacing w:after="120" w:before="240"/>
      </w:pPr>
      <w:r>
        <w:t xml:space="preserve">Industrials</w:t>
      </w:r>
    </w:p>
    <w:p>
      <w:pPr>
        <w:spacing w:after="100"/>
      </w:pPr>
      <w:r>
        <w:rPr>
          <w:b/>
          <w:bCs/>
          <w:sz w:val="21"/>
          <w:szCs w:val="21"/>
        </w:rPr>
        <w:t xml:space="preserve">Held: SPCX (2.78%, Low), VRT (2.72%, Medium), AAL (1.03%, Low), SYM (0.90%, Low), RKLB (0.63%, Low)</w:t>
      </w:r>
    </w:p>
    <w:p>
      <w:pPr>
        <w:spacing w:after="100"/>
      </w:pPr>
      <w:r>
        <w:rPr>
          <w:b/>
          <w:bCs/>
          <w:sz w:val="21"/>
          <w:szCs w:val="21"/>
        </w:rPr>
        <w:t xml:space="preserve">Watchlist: None mapped</w:t>
      </w:r>
    </w:p>
    <w:p>
      <w:pPr>
        <w:spacing w:after="100"/>
      </w:pPr>
      <w:r>
        <w:rPr>
          <w:sz w:val="21"/>
          <w:szCs w:val="21"/>
        </w:rPr>
        <w:t xml:space="preserve">A structurally disparate group unified only by 'picks-and-shovels' logic: VRT sells power/cooling infrastructure directly into AI data centers (0.55 correlation with AVGO, 0.60 with QQQ); SPCX is the book's sole illiquid, privately-held position (space launch/Starlink); AAL and RKLB are small, low-conviction speculative-sleeve turnaround/growth bets (airlines, small-satellite launch) with limited thematic overlap to the rest of the book; SYM is a warehouse-automation bet anchored to a single customer (Walmart).</w:t>
      </w:r>
    </w:p>
    <w:p>
      <w:pPr>
        <w:pStyle w:val="Heading2"/>
        <w:spacing w:after="120" w:before="240"/>
      </w:pPr>
      <w:r>
        <w:t xml:space="preserve">Consumer</w:t>
      </w:r>
    </w:p>
    <w:p>
      <w:pPr>
        <w:spacing w:after="100"/>
      </w:pPr>
      <w:r>
        <w:rPr>
          <w:b/>
          <w:bCs/>
          <w:sz w:val="21"/>
          <w:szCs w:val="21"/>
        </w:rPr>
        <w:t xml:space="preserve">Held: EL (4.48%, Medium), CAKE (2.07%, Low)</w:t>
      </w:r>
    </w:p>
    <w:p>
      <w:pPr>
        <w:spacing w:after="100"/>
      </w:pPr>
      <w:r>
        <w:rPr>
          <w:b/>
          <w:bCs/>
          <w:sz w:val="21"/>
          <w:szCs w:val="21"/>
        </w:rPr>
        <w:t xml:space="preserve">Watchlist: AAPL (watchlist, Low)</w:t>
      </w:r>
    </w:p>
    <w:p>
      <w:pPr>
        <w:spacing w:after="100"/>
      </w:pPr>
      <w:r>
        <w:rPr>
          <w:sz w:val="21"/>
          <w:szCs w:val="21"/>
        </w:rPr>
        <w:t xml:space="preserve">EL (prestige beauty, mid-turnaround on China/travel-retail demand) and CAKE (casual-dining, multi-concept growth) are both value/turnaround stories rather than growth compounders, and both carry idiosyncratic, company-specific risk largely uncorrelated with the AI/semis theme running through the rest of the book.</w:t>
      </w:r>
    </w:p>
    <w:p>
      <w:pPr>
        <w:pStyle w:val="Heading2"/>
        <w:spacing w:after="120" w:before="240"/>
      </w:pPr>
      <w:r>
        <w:t xml:space="preserve">Power &amp; Utilities</w:t>
      </w:r>
    </w:p>
    <w:p>
      <w:pPr>
        <w:spacing w:after="100"/>
      </w:pPr>
      <w:r>
        <w:rPr>
          <w:b/>
          <w:bCs/>
          <w:sz w:val="21"/>
          <w:szCs w:val="21"/>
        </w:rPr>
        <w:t xml:space="preserve">Held: TLN (3.41%, Medium), VST (1.01%, Medium)</w:t>
      </w:r>
    </w:p>
    <w:p>
      <w:pPr>
        <w:spacing w:after="100"/>
      </w:pPr>
      <w:r>
        <w:rPr>
          <w:b/>
          <w:bCs/>
          <w:sz w:val="21"/>
          <w:szCs w:val="21"/>
        </w:rPr>
        <w:t xml:space="preserve">Watchlist: None mapped</w:t>
      </w:r>
    </w:p>
    <w:p>
      <w:pPr>
        <w:spacing w:after="100"/>
      </w:pPr>
      <w:r>
        <w:rPr>
          <w:sz w:val="21"/>
          <w:szCs w:val="21"/>
        </w:rPr>
        <w:t xml:space="preserve">TLN and VST are a matched pair on the power-for-AI-data-centers thesis — nuclear baseload capacity monetized via hyperscaler power-purchase agreements. Highly correlated with each other (0.81) and share the same regulatory/interconnection and counterparty-concentration risks. AMZN's own 1.9 GW nuclear PPA with Talen is the direct external validation of this thesis, and is also why AMZN sits on the watchlist rather than being viewed as unrelated.</w:t>
      </w:r>
    </w:p>
    <w:p>
      <w:pPr>
        <w:pStyle w:val="Heading2"/>
        <w:spacing w:after="120" w:before="240"/>
      </w:pPr>
      <w:r>
        <w:t xml:space="preserve">AI/Cloud Infrastructure</w:t>
      </w:r>
    </w:p>
    <w:p>
      <w:pPr>
        <w:spacing w:after="100"/>
      </w:pPr>
      <w:r>
        <w:rPr>
          <w:b/>
          <w:bCs/>
          <w:sz w:val="21"/>
          <w:szCs w:val="21"/>
        </w:rPr>
        <w:t xml:space="preserve">Held: WYFI (1.18%, Low), CRWV (1.25%, Low), NBIS (1.31%, Medium)</w:t>
      </w:r>
    </w:p>
    <w:p>
      <w:pPr>
        <w:spacing w:after="100"/>
      </w:pPr>
      <w:r>
        <w:rPr>
          <w:b/>
          <w:bCs/>
          <w:sz w:val="21"/>
          <w:szCs w:val="21"/>
        </w:rPr>
        <w:t xml:space="preserve">Watchlist: None mapped</w:t>
      </w:r>
    </w:p>
    <w:p>
      <w:pPr>
        <w:spacing w:after="100"/>
      </w:pPr>
      <w:r>
        <w:rPr>
          <w:sz w:val="21"/>
          <w:szCs w:val="21"/>
        </w:rPr>
        <w:t xml:space="preserve">NBIS, CRWV, and WYFI are the book's pure-play neocloud/GPU-cloud sleeve, at three different stages of scale and balance-sheet quality (Nebius &gt; CoreWeave &gt; WhiteFiber). Extremely tightly correlated with each other (NBIS–CRWV 0.79, and near-1.00 with the leveraged NBIL wrapper) — a single sector-wide sentiment shock (e.g., the July 2026 Meta-cloud-entry headlines) moves the whole cluster together regardless of individual fundamentals. Watchlist name APLD is a smaller version of the same trade, explicitly not added due to clustering-risk concerns already at the IPS sizing limit for this theme.</w:t>
      </w:r>
    </w:p>
    <w:p>
      <w:pPr>
        <w:pStyle w:val="Heading2"/>
        <w:spacing w:after="120" w:before="240"/>
      </w:pPr>
      <w:r>
        <w:t xml:space="preserve">Leveraged Derivative</w:t>
      </w:r>
    </w:p>
    <w:p>
      <w:pPr>
        <w:spacing w:after="100"/>
      </w:pPr>
      <w:r>
        <w:rPr>
          <w:b/>
          <w:bCs/>
          <w:sz w:val="21"/>
          <w:szCs w:val="21"/>
        </w:rPr>
        <w:t xml:space="preserve">Held: NBIL (2.81%, Low)</w:t>
      </w:r>
    </w:p>
    <w:p>
      <w:pPr>
        <w:spacing w:after="100"/>
      </w:pPr>
      <w:r>
        <w:rPr>
          <w:b/>
          <w:bCs/>
          <w:sz w:val="21"/>
          <w:szCs w:val="21"/>
        </w:rPr>
        <w:t xml:space="preserve">Watchlist: None mapped</w:t>
      </w:r>
    </w:p>
    <w:p>
      <w:pPr>
        <w:spacing w:after="100"/>
      </w:pPr>
      <w:r>
        <w:rPr>
          <w:sz w:val="21"/>
          <w:szCs w:val="21"/>
        </w:rPr>
        <w:t xml:space="preserve">NBIL (2x daily-reset leveraged NBIS ETF) is the book's sole leveraged position, capped at 5% of invested capital and currently under-limit at 2.81%. Its correlation with NBIS is 1.00 by construction. Daily-reset volatility decay is the central structural risk — this vehicle is explicitly not designed to be a long-term buy-and-hold position.</w:t>
      </w:r>
    </w:p>
    <w:p>
      <w:pPr>
        <w:pStyle w:val="Heading2"/>
        <w:spacing w:after="120" w:before="240"/>
      </w:pPr>
      <w:r>
        <w:t xml:space="preserve">Healthcare Technology</w:t>
      </w:r>
    </w:p>
    <w:p>
      <w:pPr>
        <w:spacing w:after="100"/>
      </w:pPr>
      <w:r>
        <w:rPr>
          <w:b/>
          <w:bCs/>
          <w:sz w:val="21"/>
          <w:szCs w:val="21"/>
        </w:rPr>
        <w:t xml:space="preserve">Held: TEM (0.57%, Low)</w:t>
      </w:r>
    </w:p>
    <w:p>
      <w:pPr>
        <w:spacing w:after="100"/>
      </w:pPr>
      <w:r>
        <w:rPr>
          <w:b/>
          <w:bCs/>
          <w:sz w:val="21"/>
          <w:szCs w:val="21"/>
        </w:rPr>
        <w:t xml:space="preserve">Watchlist: None mapped</w:t>
      </w:r>
    </w:p>
    <w:p>
      <w:pPr>
        <w:spacing w:after="100"/>
      </w:pPr>
      <w:r>
        <w:rPr>
          <w:sz w:val="21"/>
          <w:szCs w:val="21"/>
        </w:rPr>
        <w:t xml:space="preserve">TEM is the book's only healthcare exposure and its smallest position (0.57%) — a precision-medicine/genomic-AI data-licensing bet still pre-profitability. No watchlist names currently map to this sector, leaving it the thinnest-covered sector in the book.</w:t>
      </w:r>
    </w:p>
    <w:p>
      <w:r>
        <w:br w:type="page"/>
      </w:r>
    </w:p>
    <w:p>
      <w:pPr>
        <w:pStyle w:val="Heading1"/>
        <w:spacing w:after="120" w:before="240"/>
      </w:pPr>
      <w:r>
        <w:t xml:space="preserve">C. Correlation Findings &amp; Macro Stress-Test Scenarios</w:t>
      </w:r>
    </w:p>
    <w:p>
      <w:pPr>
        <w:pStyle w:val="Heading2"/>
        <w:spacing w:after="120" w:before="240"/>
      </w:pPr>
      <w:r>
        <w:t xml:space="preserve">Correlation Matrix — Key Clusters</w:t>
      </w:r>
    </w:p>
    <w:p>
      <w:pPr>
        <w:spacing w:after="100"/>
      </w:pPr>
      <w:r>
        <w:rPr>
          <w:sz w:val="21"/>
          <w:szCs w:val="21"/>
        </w:rPr>
        <w:t xml:space="preserve">Full 31×31 pairwise Pearson correlation matrix (YTD daily returns; SPCX excluded for insufficient trading history) computed and published on the Holdings page. Grouped by theme rather than alphabetically so clustering is visually apparent. Key findings:</w:t>
      </w:r>
    </w:p>
    <w:p>
      <w:pPr>
        <w:pStyle w:val="ListParagraph"/>
        <w:numPr>
          <w:ilvl w:val="0"/>
          <w:numId w:val="1"/>
        </w:numPr>
        <w:spacing w:after="60"/>
      </w:pPr>
      <w:r>
        <w:t xml:space="preserve">Semiconductor/memory block: SNDK–MU 0.72, AMD–MU 0.53, MU–INTC 0.44, SNDK–AMD 0.25</w:t>
      </w:r>
    </w:p>
    <w:p>
      <w:pPr>
        <w:pStyle w:val="ListParagraph"/>
        <w:numPr>
          <w:ilvl w:val="0"/>
          <w:numId w:val="1"/>
        </w:numPr>
        <w:spacing w:after="60"/>
      </w:pPr>
      <w:r>
        <w:t xml:space="preserve">Cybersecurity/software block: PANW–CRWD 0.88, FTNT–DDOG 0.82, CRWD–DDOG 0.75, PANW–FTNT 0.72, FTNT–CRWD 0.71, CRWD–NOW 0.68</w:t>
      </w:r>
    </w:p>
    <w:p>
      <w:pPr>
        <w:pStyle w:val="ListParagraph"/>
        <w:numPr>
          <w:ilvl w:val="0"/>
          <w:numId w:val="1"/>
        </w:numPr>
        <w:spacing w:after="60"/>
      </w:pPr>
      <w:r>
        <w:t xml:space="preserve">AI-infrastructure/compute block: NBIS–NBIL 1.00 (leverage mechanics), NBIS–CRWV 0.79, NBIL–CRWV 0.79</w:t>
      </w:r>
    </w:p>
    <w:p>
      <w:pPr>
        <w:pStyle w:val="ListParagraph"/>
        <w:numPr>
          <w:ilvl w:val="0"/>
          <w:numId w:val="1"/>
        </w:numPr>
        <w:spacing w:after="60"/>
      </w:pPr>
      <w:r>
        <w:t xml:space="preserve">Power/utilities block: TLN–VST 0.81</w:t>
      </w:r>
    </w:p>
    <w:p>
      <w:pPr>
        <w:pStyle w:val="ListParagraph"/>
        <w:numPr>
          <w:ilvl w:val="0"/>
          <w:numId w:val="1"/>
        </w:numPr>
        <w:spacing w:after="60"/>
      </w:pPr>
      <w:r>
        <w:t xml:space="preserve">Index funds: SPY–VOO 1.00 (near-identical exposure — redundant, not diversifying)</w:t>
      </w:r>
    </w:p>
    <w:p>
      <w:pPr>
        <w:pStyle w:val="ListParagraph"/>
        <w:numPr>
          <w:ilvl w:val="0"/>
          <w:numId w:val="1"/>
        </w:numPr>
        <w:spacing w:after="60"/>
      </w:pPr>
      <w:r>
        <w:t xml:space="preserve">Notable diversifiers: SCHD broadly low/negatively correlated with most growth names; NFLX largely uncorrelated or negatively correlated with semiconductors (NFLX–SNDK −0.19)</w:t>
      </w:r>
    </w:p>
    <w:p>
      <w:pPr>
        <w:spacing w:after="100"/>
      </w:pPr>
      <w:r>
        <w:rPr>
          <w:sz w:val="21"/>
          <w:szCs w:val="21"/>
        </w:rPr>
        <w:t xml:space="preserve">Clustering commentary (verbatim): "Grouped by theme, not alphabetically, so you can see the clustering rather than have to hunt for it — notice how the semiconductor block, the cybersecurity block, and the AI-infrastructure block each run noticeably darker against each other than against the non-theme names or the index funds."</w:t>
      </w:r>
    </w:p>
    <w:p>
      <w:pPr>
        <w:pStyle w:val="Heading2"/>
        <w:spacing w:after="120" w:before="240"/>
      </w:pPr>
      <w:r>
        <w:t xml:space="preserve">Macro Stress-Test Scenarios (verbatim, Holdings page)</w:t>
      </w:r>
    </w:p>
    <w:p>
      <w:pPr>
        <w:pStyle w:val="Heading3"/>
        <w:spacing w:after="120" w:before="240"/>
      </w:pPr>
      <w:r>
        <w:t xml:space="preserve">1. Base Case — Current positioning, no shock assumed</w:t>
      </w:r>
    </w:p>
    <w:p>
      <w:pPr>
        <w:spacing w:after="100"/>
      </w:pPr>
      <w:r>
        <w:rPr>
          <w:sz w:val="21"/>
          <w:szCs w:val="21"/>
        </w:rPr>
        <w:t>"32 positions across 10 sectors, 61.0% Core bucket, 18.4% index-hedge ballast (SPY, VOO, QQQ, SCHD), 2.8% leveraged sleeve (NBIL, capped at 5%). The single largest structural fact about this book: 28.50% direct semiconductor exposure, which is the lens every other scenario runs through." Tag: Fully invested, no cash cushion.</w:t>
      </w:r>
    </w:p>
    <w:p>
      <w:pPr>
        <w:pStyle w:val="Heading3"/>
        <w:spacing w:after="120" w:before="240"/>
      </w:pPr>
      <w:r>
        <w:t xml:space="preserve">2. Inflation Spike (+100bps) — A genuine, largely undefended vulnerability</w:t>
      </w:r>
    </w:p>
    <w:p>
      <w:pPr>
        <w:spacing w:after="100"/>
      </w:pPr>
      <w:r>
        <w:rPr>
          <w:sz w:val="21"/>
          <w:szCs w:val="21"/>
        </w:rPr>
        <w:t xml:space="preserve">"This book is growth-multiple-heavy — semiconductors and AI-infrastructure names priced on future earnings, which compress hardest when discount rates rise. There is no dedicated inflation hedge here (no TIPS, no commodities sleeve, no floating-rate exposure). The honest mitigants are partial at best: the index-hedge sleeve (18.41%) is broad-market ballast, not inflation-specific, and EL's prestige-brand pricing power is a real but small offset at 4.48% of the book." Tag: Structurally exposed — multiple compression risk.</w:t>
      </w:r>
    </w:p>
    <w:p>
      <w:pPr>
        <w:pStyle w:val="Heading3"/>
        <w:spacing w:after="120" w:before="240"/>
      </w:pPr>
      <w:r>
        <w:t xml:space="preserve">3. Systemic Liquidity Crunch — The best-defended scenario in the book</w:t>
      </w:r>
    </w:p>
    <w:p>
      <w:pPr>
        <w:spacing w:after="100"/>
      </w:pPr>
      <w:r>
        <w:rPr>
          <w:sz w:val="21"/>
          <w:szCs w:val="21"/>
        </w:rPr>
        <w:t xml:space="preserve">"Every position is a liquid, publicly traded security — no private equity, no illiquid credit, no lockups. The leveraged sleeve (NBIL) is capped at 5% and currently sits at 2.9%, well under that limit, which specifically limits forced-selling risk in a liquidity event. A genuinely broad, real drawdown would still hurt — beta of 1.79 means this book falls harder than SPY — but exiting any position doesn't face the structural friction an illiquid holding would." Tags: 100% liquid, publicly traded positions; Leveraged sleeve capped and under-limit.</w:t>
      </w:r>
    </w:p>
    <w:p>
      <w:pPr>
        <w:spacing w:after="100"/>
      </w:pPr>
      <w:r>
        <w:rPr>
          <w:i/>
          <w:iCs/>
          <w:color w:val="6B7280"/>
          <w:sz w:val="18"/>
          <w:szCs w:val="18"/>
        </w:rPr>
        <w:t xml:space="preserve">Note: SPCX (2.78% of book) is held via private secondary markets and is the one exception to full liquidity — the stress-test's "100% liquid" framing should be read as applying to the other 31 positions.</w:t>
      </w:r>
    </w:p>
    <w:p>
      <w:pPr>
        <w:pStyle w:val="Heading3"/>
        <w:spacing w:after="120" w:before="240"/>
      </w:pPr>
      <w:r>
        <w:t xml:space="preserve">4. Geopolitical Semiconductor Blockade — The single largest concentrated risk in the book</w:t>
      </w:r>
    </w:p>
    <w:p>
      <w:pPr>
        <w:spacing w:after="100"/>
      </w:pPr>
      <w:r>
        <w:rPr>
          <w:sz w:val="21"/>
          <w:szCs w:val="21"/>
        </w:rPr>
        <w:t>"28.50% of the book sits in semiconductors (SNDK, AMD, MU, INTC, AVGO, ARM), several of which depend on Taiwan-based or Taiwan-adjacent fabrication capacity for leading-edge nodes. This is not a scenario the book is well-defended against — a real supply disruption would hit this sleeve hard and fast. The one partial, real mitigant: Intel's foundry turnaround thesis is specifically a bet on reshoring U.S.-based leading-edge manufacturing, which is a different risk profile than fabless competitors entirely dependent on offshore capacity — but Intel is 4.33% of the book, nowhere near large enough to offset the sleeve's overall exposure." Tag: Largest single concentrated risk — 28.50% of book.</w:t>
      </w:r>
    </w:p>
    <w:p>
      <w:r>
        <w:br w:type="page"/>
      </w:r>
    </w:p>
    <w:p>
      <w:pPr>
        <w:pStyle w:val="Heading1"/>
        <w:spacing w:after="120" w:before="240"/>
      </w:pPr>
      <w:r>
        <w:t xml:space="preserve">D. Macro &amp; Rates Backdrop</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6000"/>
        <w:gridCol w:w="3600"/>
      </w:tblGrid>
      <w:tr>
        <w:trPr>
          <w:tblHeader/>
        </w:trPr>
        <w:tc>
          <w:tcPr>
            <w:tcW w:type="dxa" w:w="6000"/>
            <w:shd w:fill="1F2937" w:val="clear"/>
            <w:tcMar>
              <w:top w:type="dxa" w:w="60"/>
              <w:left w:type="dxa" w:w="100"/>
              <w:bottom w:type="dxa" w:w="60"/>
              <w:right w:type="dxa" w:w="100"/>
            </w:tcMar>
            <w:vAlign w:val="center"/>
          </w:tcPr>
          <w:p>
            <w:r>
              <w:rPr>
                <w:b/>
                <w:bCs/>
                <w:color w:val="FFFFFF"/>
                <w:sz w:val="18"/>
                <w:szCs w:val="18"/>
              </w:rPr>
              <w:t xml:space="preserve">Indicator</w:t>
            </w:r>
          </w:p>
        </w:tc>
        <w:tc>
          <w:tcPr>
            <w:tcW w:type="dxa" w:w="3600"/>
            <w:shd w:fill="1F2937" w:val="clear"/>
            <w:tcMar>
              <w:top w:type="dxa" w:w="60"/>
              <w:left w:type="dxa" w:w="100"/>
              <w:bottom w:type="dxa" w:w="60"/>
              <w:right w:type="dxa" w:w="100"/>
            </w:tcMar>
            <w:vAlign w:val="center"/>
          </w:tcPr>
          <w:p>
            <w:r>
              <w:rPr>
                <w:b/>
                <w:bCs/>
                <w:color w:val="FFFFFF"/>
                <w:sz w:val="18"/>
                <w:szCs w:val="18"/>
              </w:rPr>
              <w:t xml:space="preserve">Level</w:t>
            </w:r>
          </w:p>
        </w:tc>
      </w:tr>
      <w:tr>
        <w:tc>
          <w:tcPr>
            <w:tcW w:type="dxa" w:w="6000"/>
            <w:tcMar>
              <w:top w:type="dxa" w:w="60"/>
              <w:left w:type="dxa" w:w="100"/>
              <w:bottom w:type="dxa" w:w="60"/>
              <w:right w:type="dxa" w:w="100"/>
            </w:tcMar>
            <w:vAlign w:val="center"/>
          </w:tcPr>
          <w:p>
            <w:r>
              <w:rPr>
                <w:b w:val="false"/>
                <w:bCs w:val="false"/>
                <w:color w:val="000000"/>
                <w:sz w:val="18"/>
                <w:szCs w:val="18"/>
              </w:rPr>
              <w:t xml:space="preserve">Fed Funds Target Range</w:t>
            </w:r>
          </w:p>
        </w:tc>
        <w:tc>
          <w:tcPr>
            <w:tcW w:type="dxa" w:w="3600"/>
            <w:tcMar>
              <w:top w:type="dxa" w:w="60"/>
              <w:left w:type="dxa" w:w="100"/>
              <w:bottom w:type="dxa" w:w="60"/>
              <w:right w:type="dxa" w:w="100"/>
            </w:tcMar>
            <w:vAlign w:val="center"/>
          </w:tcPr>
          <w:p>
            <w:r>
              <w:rPr>
                <w:b w:val="false"/>
                <w:bCs w:val="false"/>
                <w:color w:val="000000"/>
                <w:sz w:val="18"/>
                <w:szCs w:val="18"/>
              </w:rPr>
              <w:t xml:space="preserve">3.50%–3.75% (held since June 2026 FOMC)</w:t>
            </w:r>
          </w:p>
        </w:tc>
      </w:tr>
      <w:tr>
        <w:tc>
          <w:tcPr>
            <w:tcW w:type="dxa" w:w="6000"/>
            <w:tcMar>
              <w:top w:type="dxa" w:w="60"/>
              <w:left w:type="dxa" w:w="100"/>
              <w:bottom w:type="dxa" w:w="60"/>
              <w:right w:type="dxa" w:w="100"/>
            </w:tcMar>
            <w:vAlign w:val="center"/>
          </w:tcPr>
          <w:p>
            <w:r>
              <w:rPr>
                <w:b w:val="false"/>
                <w:bCs w:val="false"/>
                <w:color w:val="000000"/>
                <w:sz w:val="18"/>
                <w:szCs w:val="18"/>
              </w:rPr>
              <w:t xml:space="preserve">10-Year Treasury Yield</w:t>
            </w:r>
          </w:p>
        </w:tc>
        <w:tc>
          <w:tcPr>
            <w:tcW w:type="dxa" w:w="3600"/>
            <w:tcMar>
              <w:top w:type="dxa" w:w="60"/>
              <w:left w:type="dxa" w:w="100"/>
              <w:bottom w:type="dxa" w:w="60"/>
              <w:right w:type="dxa" w:w="100"/>
            </w:tcMar>
            <w:vAlign w:val="center"/>
          </w:tcPr>
          <w:p>
            <w:r>
              <w:rPr>
                <w:b w:val="false"/>
                <w:bCs w:val="false"/>
                <w:color w:val="000000"/>
                <w:sz w:val="18"/>
                <w:szCs w:val="18"/>
              </w:rPr>
              <w:t xml:space="preserve">4.55%</w:t>
            </w:r>
          </w:p>
        </w:tc>
      </w:tr>
      <w:tr>
        <w:tc>
          <w:tcPr>
            <w:tcW w:type="dxa" w:w="6000"/>
            <w:tcMar>
              <w:top w:type="dxa" w:w="60"/>
              <w:left w:type="dxa" w:w="100"/>
              <w:bottom w:type="dxa" w:w="60"/>
              <w:right w:type="dxa" w:w="100"/>
            </w:tcMar>
            <w:vAlign w:val="center"/>
          </w:tcPr>
          <w:p>
            <w:r>
              <w:rPr>
                <w:b w:val="false"/>
                <w:bCs w:val="false"/>
                <w:color w:val="000000"/>
                <w:sz w:val="18"/>
                <w:szCs w:val="18"/>
              </w:rPr>
              <w:t xml:space="preserve">2-Year Treasury Yield</w:t>
            </w:r>
          </w:p>
        </w:tc>
        <w:tc>
          <w:tcPr>
            <w:tcW w:type="dxa" w:w="3600"/>
            <w:tcMar>
              <w:top w:type="dxa" w:w="60"/>
              <w:left w:type="dxa" w:w="100"/>
              <w:bottom w:type="dxa" w:w="60"/>
              <w:right w:type="dxa" w:w="100"/>
            </w:tcMar>
            <w:vAlign w:val="center"/>
          </w:tcPr>
          <w:p>
            <w:r>
              <w:rPr>
                <w:b w:val="false"/>
                <w:bCs w:val="false"/>
                <w:color w:val="000000"/>
                <w:sz w:val="18"/>
                <w:szCs w:val="18"/>
              </w:rPr>
              <w:t xml:space="preserve">4.18%</w:t>
            </w:r>
          </w:p>
        </w:tc>
      </w:tr>
      <w:tr>
        <w:tc>
          <w:tcPr>
            <w:tcW w:type="dxa" w:w="6000"/>
            <w:tcMar>
              <w:top w:type="dxa" w:w="60"/>
              <w:left w:type="dxa" w:w="100"/>
              <w:bottom w:type="dxa" w:w="60"/>
              <w:right w:type="dxa" w:w="100"/>
            </w:tcMar>
            <w:vAlign w:val="center"/>
          </w:tcPr>
          <w:p>
            <w:r>
              <w:rPr>
                <w:b w:val="false"/>
                <w:bCs w:val="false"/>
                <w:color w:val="000000"/>
                <w:sz w:val="18"/>
                <w:szCs w:val="18"/>
              </w:rPr>
              <w:t xml:space="preserve">High-Yield OAS (credit spread)</w:t>
            </w:r>
          </w:p>
        </w:tc>
        <w:tc>
          <w:tcPr>
            <w:tcW w:type="dxa" w:w="3600"/>
            <w:tcMar>
              <w:top w:type="dxa" w:w="60"/>
              <w:left w:type="dxa" w:w="100"/>
              <w:bottom w:type="dxa" w:w="60"/>
              <w:right w:type="dxa" w:w="100"/>
            </w:tcMar>
            <w:vAlign w:val="center"/>
          </w:tcPr>
          <w:p>
            <w:r>
              <w:rPr>
                <w:b w:val="false"/>
                <w:bCs w:val="false"/>
                <w:color w:val="000000"/>
                <w:sz w:val="18"/>
                <w:szCs w:val="18"/>
              </w:rPr>
              <w:t xml:space="preserve">2.70 points</w:t>
            </w:r>
          </w:p>
        </w:tc>
      </w:tr>
    </w:tbl>
    <w:p>
      <w:pPr>
        <w:pStyle w:val="Heading2"/>
        <w:spacing w:after="120" w:before="240"/>
      </w:pPr>
      <w:r>
        <w:t xml:space="preserve">Upcoming Macro Catalysts</w:t>
      </w:r>
    </w:p>
    <w:p>
      <w:pPr>
        <w:pStyle w:val="ListParagraph"/>
        <w:numPr>
          <w:ilvl w:val="0"/>
          <w:numId w:val="1"/>
        </w:numPr>
        <w:spacing w:after="60"/>
      </w:pPr>
      <w:r>
        <w:t xml:space="preserve">Jul 14, 2026 — June CPI release: moves rate-cut expectations across the board; relevant context for every semiconductor/growth name in the book, not just owned positions.</w:t>
      </w:r>
    </w:p>
    <w:p>
      <w:pPr>
        <w:pStyle w:val="ListParagraph"/>
        <w:numPr>
          <w:ilvl w:val="0"/>
          <w:numId w:val="1"/>
        </w:numPr>
        <w:spacing w:after="60"/>
      </w:pPr>
      <w:r>
        <w:t xml:space="preserve">Jul 28–29, 2026 — FOMC meeting &amp; rate decision: rate held at 3.50–3.75% since June; a hold-vs-cut surprise would move the book's higher-beta, growth-multiple names (SNDK, AMD, MU, NBIS, CRWV, NBIL) more than the index-hedge sleeve.</w:t>
      </w:r>
    </w:p>
    <w:p>
      <w:pPr>
        <w:spacing w:after="100"/>
      </w:pPr>
      <w:r>
        <w:rPr>
          <w:sz w:val="21"/>
          <w:szCs w:val="21"/>
        </w:rPr>
        <w:t xml:space="preserve">Read-through for this book: an inflation-spike scenario (Section C.2) is a genuine, largely undefended vulnerability precisely because 121.7x weighted P/E on the profitable subset and heavy pre-profit/growth-stage exposure (21.9% of book) both compress hardest as the discount rate implied by the current 10Y/2Y curve rises. The index-hedge sleeve (18.4%) and EL's pricing power (4.48%) are the only real, if partial, mitigants currently in place.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2026-07-24T14:37:44.936Z</dcterms:created>
  <dcterms:modified xsi:type="dcterms:W3CDTF">2026-07-24T14:37:44.937Z</dcterms:modified>
</cp:coreProperties>
</file>

<file path=docProps/custom.xml><?xml version="1.0" encoding="utf-8"?>
<Properties xmlns="http://schemas.openxmlformats.org/officeDocument/2006/custom-properties" xmlns:vt="http://schemas.openxmlformats.org/officeDocument/2006/docPropsVTypes"/>
</file>